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63CC880C"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320DA">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254350">
        <w:rPr>
          <w:bCs/>
          <w:noProof w:val="0"/>
          <w:sz w:val="24"/>
          <w:szCs w:val="24"/>
        </w:rPr>
        <w:t>5143</w:t>
      </w:r>
    </w:p>
    <w:p w14:paraId="3723E1D3" w14:textId="7256D1AF" w:rsidR="005432D9" w:rsidRPr="00465587" w:rsidRDefault="00A320DA" w:rsidP="005432D9">
      <w:pPr>
        <w:pStyle w:val="Header"/>
        <w:tabs>
          <w:tab w:val="right" w:pos="9639"/>
        </w:tabs>
        <w:rPr>
          <w:rFonts w:eastAsia="SimSun"/>
          <w:bCs/>
          <w:sz w:val="24"/>
          <w:szCs w:val="24"/>
          <w:lang w:eastAsia="zh-CN"/>
        </w:rPr>
      </w:pPr>
      <w:r w:rsidRPr="00A320DA">
        <w:rPr>
          <w:rFonts w:eastAsia="SimSun"/>
          <w:bCs/>
          <w:sz w:val="24"/>
          <w:szCs w:val="24"/>
          <w:lang w:eastAsia="zh-CN"/>
        </w:rPr>
        <w:t>Fukuoka, Japan, 20 – 2</w:t>
      </w:r>
      <w:r w:rsidR="00254350">
        <w:rPr>
          <w:rFonts w:eastAsia="SimSun"/>
          <w:bCs/>
          <w:sz w:val="24"/>
          <w:szCs w:val="24"/>
          <w:lang w:eastAsia="zh-CN"/>
        </w:rPr>
        <w:t>4</w:t>
      </w:r>
      <w:r w:rsidRPr="00A320DA">
        <w:rPr>
          <w:rFonts w:eastAsia="SimSun"/>
          <w:bCs/>
          <w:sz w:val="24"/>
          <w:szCs w:val="24"/>
          <w:lang w:eastAsia="zh-CN"/>
        </w:rPr>
        <w:t xml:space="preserve"> May 2024</w:t>
      </w:r>
      <w:r w:rsidR="005432D9">
        <w:rPr>
          <w:rFonts w:eastAsia="SimSun"/>
          <w:noProof w:val="0"/>
          <w:sz w:val="24"/>
          <w:szCs w:val="24"/>
          <w:lang w:eastAsia="zh-CN"/>
        </w:rPr>
        <w:tab/>
      </w:r>
      <w:r w:rsidR="00042C1A" w:rsidRPr="00254350">
        <w:rPr>
          <w:rFonts w:eastAsia="SimSun"/>
          <w:noProof w:val="0"/>
          <w:sz w:val="16"/>
          <w:szCs w:val="16"/>
          <w:lang w:eastAsia="zh-CN"/>
        </w:rPr>
        <w:t xml:space="preserve">revision of </w:t>
      </w:r>
      <w:r w:rsidR="005432D9" w:rsidRPr="00254350">
        <w:rPr>
          <w:rFonts w:eastAsia="SimSun"/>
          <w:bCs/>
          <w:i/>
          <w:noProof w:val="0"/>
          <w:sz w:val="16"/>
          <w:szCs w:val="16"/>
          <w:lang w:eastAsia="zh-CN"/>
        </w:rPr>
        <w:t>R2-240</w:t>
      </w:r>
      <w:r w:rsidR="00042C1A" w:rsidRPr="00254350">
        <w:rPr>
          <w:rFonts w:eastAsia="SimSun"/>
          <w:bCs/>
          <w:i/>
          <w:noProof w:val="0"/>
          <w:sz w:val="16"/>
          <w:szCs w:val="16"/>
          <w:lang w:eastAsia="zh-CN"/>
        </w:rPr>
        <w:t>3301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7B7258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42C1A">
        <w:rPr>
          <w:rFonts w:cs="Arial"/>
          <w:b/>
          <w:bCs/>
          <w:sz w:val="24"/>
          <w:lang w:eastAsia="ja-JP"/>
        </w:rPr>
        <w:t>7.7.3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4E36BA">
        <w:rPr>
          <w:rFonts w:ascii="Arial" w:hAnsi="Arial" w:cs="Arial"/>
          <w:b/>
          <w:bCs/>
          <w:sz w:val="24"/>
        </w:rPr>
        <w:t>Nokia, Nokia Shanghai Bell</w:t>
      </w:r>
    </w:p>
    <w:p w14:paraId="553D264F" w14:textId="1826945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23B52" w:rsidRPr="00254350">
        <w:rPr>
          <w:rFonts w:ascii="Arial" w:hAnsi="Arial" w:cs="Arial"/>
          <w:b/>
          <w:bCs/>
          <w:sz w:val="24"/>
        </w:rPr>
        <w:t>On R</w:t>
      </w:r>
      <w:r w:rsidR="00042C1A" w:rsidRPr="00254350">
        <w:rPr>
          <w:rFonts w:ascii="Arial" w:hAnsi="Arial" w:cs="Arial"/>
          <w:b/>
          <w:bCs/>
          <w:sz w:val="24"/>
        </w:rPr>
        <w:t>educing the NW Uncertainty in</w:t>
      </w:r>
      <w:r w:rsidR="00723B52" w:rsidRPr="00254350">
        <w:rPr>
          <w:rFonts w:ascii="Arial" w:hAnsi="Arial" w:cs="Arial"/>
          <w:b/>
          <w:bCs/>
          <w:sz w:val="24"/>
        </w:rPr>
        <w:t xml:space="preserve"> Satellite Switching with Resynchronization</w:t>
      </w:r>
    </w:p>
    <w:p w14:paraId="25F387E8" w14:textId="16C67E5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C7DD3">
        <w:rPr>
          <w:rFonts w:ascii="Arial" w:hAnsi="Arial" w:cs="Arial"/>
          <w:b/>
          <w:bCs/>
          <w:sz w:val="24"/>
        </w:rPr>
        <w:t>NR_NTN_enh</w:t>
      </w:r>
      <w:proofErr w:type="spellEnd"/>
      <w:r w:rsidR="00CC7DD3">
        <w:rPr>
          <w:rFonts w:ascii="Arial" w:hAnsi="Arial" w:cs="Arial"/>
          <w:b/>
          <w:bCs/>
          <w:sz w:val="24"/>
        </w:rPr>
        <w:t xml:space="preserve"> -Core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3587149" w14:textId="3EBB3279" w:rsidR="008F48D9" w:rsidRDefault="008F48D9" w:rsidP="008F48D9">
      <w:r>
        <w:t>The following agreements were taken during the previous RAN2</w:t>
      </w:r>
      <w:r w:rsidR="004F3209">
        <w:t>#125bis</w:t>
      </w:r>
      <w:r>
        <w:t xml:space="preserve"> meeting:</w:t>
      </w:r>
    </w:p>
    <w:tbl>
      <w:tblPr>
        <w:tblStyle w:val="TableGrid"/>
        <w:tblW w:w="0" w:type="auto"/>
        <w:tblLook w:val="04A0" w:firstRow="1" w:lastRow="0" w:firstColumn="1" w:lastColumn="0" w:noHBand="0" w:noVBand="1"/>
      </w:tblPr>
      <w:tblGrid>
        <w:gridCol w:w="9631"/>
      </w:tblGrid>
      <w:tr w:rsidR="006D7CA2" w14:paraId="5A7CBFCA" w14:textId="77777777" w:rsidTr="006D7CA2">
        <w:tc>
          <w:tcPr>
            <w:tcW w:w="9631" w:type="dxa"/>
          </w:tcPr>
          <w:p w14:paraId="3498CAB1" w14:textId="50277914" w:rsidR="00C575E1" w:rsidRDefault="00C575E1" w:rsidP="00C575E1">
            <w:pPr>
              <w:widowControl w:val="0"/>
              <w:spacing w:after="0" w:line="276" w:lineRule="auto"/>
              <w:jc w:val="both"/>
            </w:pPr>
            <w:r w:rsidRPr="00C575E1">
              <w:rPr>
                <w:highlight w:val="green"/>
              </w:rPr>
              <w:t>RAN2#125bis</w:t>
            </w:r>
            <w:r w:rsidR="00D86329">
              <w:rPr>
                <w:highlight w:val="green"/>
              </w:rPr>
              <w:t xml:space="preserve"> (April 2024)</w:t>
            </w:r>
            <w:r w:rsidRPr="00C575E1">
              <w:rPr>
                <w:highlight w:val="green"/>
              </w:rPr>
              <w:t xml:space="preserve"> agreements</w:t>
            </w:r>
          </w:p>
          <w:p w14:paraId="64A4C5A9" w14:textId="133B168E" w:rsidR="00C575E1" w:rsidRDefault="00C575E1" w:rsidP="00C575E1">
            <w:pPr>
              <w:pStyle w:val="ListParagraph"/>
              <w:widowControl w:val="0"/>
              <w:numPr>
                <w:ilvl w:val="0"/>
                <w:numId w:val="22"/>
              </w:numPr>
              <w:spacing w:after="0" w:line="276" w:lineRule="auto"/>
              <w:jc w:val="both"/>
            </w:pPr>
            <w:r>
              <w:t>For satellite switch with resync, as legacy, PDCCH order CFRA and CBRA can be used for UL sync with the target satellite when TAT is expired.</w:t>
            </w:r>
          </w:p>
          <w:p w14:paraId="203FCAAD" w14:textId="21FC8667" w:rsidR="00C575E1" w:rsidRDefault="00C575E1" w:rsidP="00C575E1">
            <w:pPr>
              <w:pStyle w:val="ListParagraph"/>
              <w:widowControl w:val="0"/>
              <w:numPr>
                <w:ilvl w:val="0"/>
                <w:numId w:val="22"/>
              </w:numPr>
              <w:spacing w:after="0" w:line="276" w:lineRule="auto"/>
              <w:jc w:val="both"/>
            </w:pPr>
            <w:r>
              <w:t>For satellite switch with resync, PDCCH order CFRA can be used for UL sync with the target satellite regardless of TAT status.</w:t>
            </w:r>
          </w:p>
          <w:p w14:paraId="070EB685" w14:textId="2B64208E" w:rsidR="006D7CA2" w:rsidRDefault="00C575E1" w:rsidP="00C575E1">
            <w:pPr>
              <w:pStyle w:val="ListParagraph"/>
              <w:widowControl w:val="0"/>
              <w:numPr>
                <w:ilvl w:val="0"/>
                <w:numId w:val="22"/>
              </w:numPr>
              <w:spacing w:after="0" w:line="276" w:lineRule="auto"/>
              <w:jc w:val="both"/>
            </w:pPr>
            <w:r>
              <w:t>Add the sentence “For the resynchronization to the target satellite, random access can be triggered by a PDCCH order.” in stage-2 section of Satellite switch with re-synchronization.</w:t>
            </w:r>
          </w:p>
        </w:tc>
      </w:tr>
    </w:tbl>
    <w:p w14:paraId="1DA3D6D9" w14:textId="5C881CF6" w:rsidR="00AC6B05" w:rsidRDefault="00AE417B" w:rsidP="00AD25AE">
      <w:r>
        <w:br/>
      </w:r>
      <w:r w:rsidR="00827821">
        <w:t>In earlier discussions on the unchanged PCI feature, the following was also agreed:</w:t>
      </w:r>
    </w:p>
    <w:tbl>
      <w:tblPr>
        <w:tblStyle w:val="TableGrid"/>
        <w:tblW w:w="0" w:type="auto"/>
        <w:tblLook w:val="04A0" w:firstRow="1" w:lastRow="0" w:firstColumn="1" w:lastColumn="0" w:noHBand="0" w:noVBand="1"/>
      </w:tblPr>
      <w:tblGrid>
        <w:gridCol w:w="9631"/>
      </w:tblGrid>
      <w:tr w:rsidR="00F143D5" w14:paraId="18AFF62E" w14:textId="77777777" w:rsidTr="00F143D5">
        <w:tc>
          <w:tcPr>
            <w:tcW w:w="9631" w:type="dxa"/>
          </w:tcPr>
          <w:p w14:paraId="114388B4" w14:textId="01039351" w:rsidR="00D86329" w:rsidRDefault="00D86329" w:rsidP="00D86329">
            <w:r w:rsidRPr="009E3E1D">
              <w:rPr>
                <w:highlight w:val="green"/>
              </w:rPr>
              <w:t>RAN2#125 (February 2024) agreements</w:t>
            </w:r>
          </w:p>
          <w:p w14:paraId="66E02B1E" w14:textId="1D1F0DF1" w:rsidR="00D86329" w:rsidRDefault="00D86329" w:rsidP="00D86329">
            <w:pPr>
              <w:pStyle w:val="ListParagraph"/>
              <w:numPr>
                <w:ilvl w:val="0"/>
                <w:numId w:val="25"/>
              </w:numPr>
            </w:pPr>
            <w:r>
              <w:t>For soft satellite switch, UE shall apply the acquired DL timing and start accessing the target satellite with related operations (e.g. restart T430, reset N_TA, resume UL operations) not before t-Service.</w:t>
            </w:r>
          </w:p>
          <w:p w14:paraId="40E313E9" w14:textId="6309BCF7" w:rsidR="00D86329" w:rsidRDefault="00D86329" w:rsidP="00D86329">
            <w:pPr>
              <w:pStyle w:val="ListParagraph"/>
              <w:numPr>
                <w:ilvl w:val="0"/>
                <w:numId w:val="25"/>
              </w:numPr>
            </w:pPr>
            <w:r>
              <w:t>For soft satellite switch, UE shall start acquiring the DL synchronization information for the target satellite from t-</w:t>
            </w:r>
            <w:proofErr w:type="spellStart"/>
            <w:r>
              <w:t>ServiceStart</w:t>
            </w:r>
            <w:proofErr w:type="spellEnd"/>
            <w:r>
              <w:t>, while maintaining the connection with source satellite.</w:t>
            </w:r>
          </w:p>
          <w:p w14:paraId="627FAEB4" w14:textId="708720B4" w:rsidR="00D86329" w:rsidRDefault="00D86329" w:rsidP="00D86329">
            <w:pPr>
              <w:pStyle w:val="ListParagraph"/>
              <w:numPr>
                <w:ilvl w:val="0"/>
                <w:numId w:val="25"/>
              </w:numPr>
            </w:pPr>
            <w:r>
              <w:t>We don’t introduce the support for configuring and reporting measurements on the target cell (from target satellite) in the soft switch case.</w:t>
            </w:r>
          </w:p>
          <w:p w14:paraId="575E2028" w14:textId="0C7CC8B1" w:rsidR="00D86329" w:rsidRDefault="00D86329" w:rsidP="00D86329">
            <w:pPr>
              <w:pStyle w:val="ListParagraph"/>
              <w:numPr>
                <w:ilvl w:val="0"/>
                <w:numId w:val="25"/>
              </w:numPr>
            </w:pPr>
            <w:r>
              <w:t>RAN2 understands that the NW is not expected to configure PDD reporting between serving and target satellites involved in the satellite switch.</w:t>
            </w:r>
          </w:p>
          <w:p w14:paraId="51048688" w14:textId="24D5C6D3" w:rsidR="00D86329" w:rsidRDefault="00D86329" w:rsidP="00D86329">
            <w:pPr>
              <w:pStyle w:val="ListParagraph"/>
              <w:numPr>
                <w:ilvl w:val="0"/>
                <w:numId w:val="25"/>
              </w:numPr>
            </w:pPr>
            <w:r>
              <w:t>There is no need for the network to activate the use of the satellite switch with re-sync feature. If the UE supports satellite switch with re-sync it can perform it at any time during RRC Connected (up to UE implementation to use the information in broadcast signalling to switch to the new satellite in other states than RRC connected).</w:t>
            </w:r>
          </w:p>
          <w:p w14:paraId="0896B525" w14:textId="2F2E1C95" w:rsidR="00F143D5" w:rsidRDefault="00D86329" w:rsidP="00D86329">
            <w:pPr>
              <w:pStyle w:val="ListParagraph"/>
              <w:numPr>
                <w:ilvl w:val="0"/>
                <w:numId w:val="25"/>
              </w:numPr>
            </w:pPr>
            <w:r>
              <w:t>All UEs supporting satellite switch with resync shall be able to perform satellite switch with re-sync without RACH (this does not mean that a UE supporting satellite switch with resync needs to support RACH-less HO).</w:t>
            </w:r>
          </w:p>
        </w:tc>
      </w:tr>
    </w:tbl>
    <w:p w14:paraId="23DC3F95" w14:textId="77777777" w:rsidR="00F143D5" w:rsidRDefault="00F143D5" w:rsidP="00AD25AE"/>
    <w:tbl>
      <w:tblPr>
        <w:tblStyle w:val="TableGrid"/>
        <w:tblW w:w="0" w:type="auto"/>
        <w:tblLook w:val="04A0" w:firstRow="1" w:lastRow="0" w:firstColumn="1" w:lastColumn="0" w:noHBand="0" w:noVBand="1"/>
      </w:tblPr>
      <w:tblGrid>
        <w:gridCol w:w="9631"/>
      </w:tblGrid>
      <w:tr w:rsidR="001C3CFE" w14:paraId="1BFCACFF" w14:textId="77777777" w:rsidTr="001C3CFE">
        <w:tc>
          <w:tcPr>
            <w:tcW w:w="9631" w:type="dxa"/>
          </w:tcPr>
          <w:p w14:paraId="7B702A4D" w14:textId="67745B9E" w:rsidR="001C3CFE" w:rsidRDefault="001C3CFE" w:rsidP="00AD25AE">
            <w:r w:rsidRPr="001C3CFE">
              <w:rPr>
                <w:highlight w:val="green"/>
              </w:rPr>
              <w:t xml:space="preserve">RAN2#123 </w:t>
            </w:r>
            <w:r w:rsidR="009E3E1D">
              <w:rPr>
                <w:highlight w:val="green"/>
              </w:rPr>
              <w:t xml:space="preserve">(August 2023) </w:t>
            </w:r>
            <w:r w:rsidRPr="001C3CFE">
              <w:rPr>
                <w:highlight w:val="green"/>
              </w:rPr>
              <w:t>agreeme</w:t>
            </w:r>
            <w:r w:rsidRPr="009E3E1D">
              <w:rPr>
                <w:highlight w:val="green"/>
              </w:rPr>
              <w:t>n</w:t>
            </w:r>
            <w:r w:rsidR="009E3E1D" w:rsidRPr="009E3E1D">
              <w:rPr>
                <w:highlight w:val="green"/>
              </w:rPr>
              <w:t>ts</w:t>
            </w:r>
          </w:p>
          <w:p w14:paraId="36D17184" w14:textId="6BFD9CAB" w:rsidR="001C3CFE" w:rsidRDefault="001C3CFE" w:rsidP="001C3CFE">
            <w:pPr>
              <w:pStyle w:val="ListParagraph"/>
              <w:numPr>
                <w:ilvl w:val="0"/>
                <w:numId w:val="24"/>
              </w:numPr>
            </w:pPr>
            <w:r w:rsidRPr="001C3CFE">
              <w:t>In the unchanged PCI case, for RACH-based solution, the UE may trigger RACH immediately after DL synchronizing with the new satellite</w:t>
            </w:r>
          </w:p>
        </w:tc>
      </w:tr>
    </w:tbl>
    <w:p w14:paraId="462DE3D0" w14:textId="4432DF49" w:rsidR="0096013E" w:rsidRDefault="00AE417B" w:rsidP="00AD25AE">
      <w:r>
        <w:br/>
      </w:r>
      <w:r w:rsidR="00765705">
        <w:t xml:space="preserve">In this contribution, we continue to discuss the aspects of </w:t>
      </w:r>
      <w:r w:rsidR="00B04E45">
        <w:t>the NW’s uncertainty during</w:t>
      </w:r>
      <w:r w:rsidR="00765705">
        <w:t xml:space="preserve"> satellite switching with re-synchronization</w:t>
      </w:r>
      <w:r w:rsidR="00320EA0">
        <w:t>.</w:t>
      </w:r>
    </w:p>
    <w:p w14:paraId="7D484B6E" w14:textId="3BD33464" w:rsidR="009339CB" w:rsidRDefault="009339CB" w:rsidP="009339CB">
      <w:pPr>
        <w:pStyle w:val="Heading1"/>
      </w:pPr>
      <w:r w:rsidRPr="006E13D1">
        <w:lastRenderedPageBreak/>
        <w:t>2</w:t>
      </w:r>
      <w:r w:rsidRPr="006E13D1">
        <w:tab/>
      </w:r>
      <w:r w:rsidR="00AD25AE">
        <w:t>Discussion</w:t>
      </w:r>
    </w:p>
    <w:p w14:paraId="59238E69" w14:textId="77777777" w:rsidR="00D87CE3" w:rsidRDefault="00D87CE3" w:rsidP="00D87CE3">
      <w:pPr>
        <w:pStyle w:val="Heading2"/>
      </w:pPr>
      <w:r>
        <w:t>2.1</w:t>
      </w:r>
      <w:r>
        <w:tab/>
        <w:t>Reducing the uncertainty whether the UE has successfully switched</w:t>
      </w:r>
    </w:p>
    <w:p w14:paraId="441B2AB6" w14:textId="77777777" w:rsidR="00D87CE3" w:rsidRDefault="00D87CE3" w:rsidP="00D87CE3">
      <w:r>
        <w:t>As per the Rel-18 decisions regarding Satellite Switching with Resynchronization, the UEs shall attempt to move to a new satellite no sooner than at t-Service. However, it has not been decided:</w:t>
      </w:r>
    </w:p>
    <w:p w14:paraId="6142566A" w14:textId="77777777" w:rsidR="00D87CE3" w:rsidRDefault="00D87CE3" w:rsidP="00D87CE3">
      <w:pPr>
        <w:pStyle w:val="ListParagraph"/>
        <w:numPr>
          <w:ilvl w:val="0"/>
          <w:numId w:val="26"/>
        </w:numPr>
        <w:jc w:val="both"/>
      </w:pPr>
      <w:r>
        <w:t>How/whether the UE confirms the successful switch</w:t>
      </w:r>
    </w:p>
    <w:p w14:paraId="48FA1997" w14:textId="77777777" w:rsidR="00D87CE3" w:rsidRDefault="00D87CE3" w:rsidP="00D87CE3">
      <w:pPr>
        <w:pStyle w:val="ListParagraph"/>
        <w:numPr>
          <w:ilvl w:val="0"/>
          <w:numId w:val="26"/>
        </w:numPr>
        <w:jc w:val="both"/>
      </w:pPr>
      <w:r>
        <w:t>How long the target satellite shall wait for each UEs to switch</w:t>
      </w:r>
    </w:p>
    <w:p w14:paraId="3DB4A413" w14:textId="65552811" w:rsidR="00D87CE3" w:rsidRDefault="00D87CE3" w:rsidP="00D87CE3">
      <w:pPr>
        <w:jc w:val="both"/>
      </w:pPr>
      <w:r>
        <w:t>During RAN2</w:t>
      </w:r>
      <w:r w:rsidR="00602C72">
        <w:t>#125</w:t>
      </w:r>
      <w:r>
        <w:t xml:space="preserve"> meeting (February 2024), it was agreed that for satellite switch with resync, a UE shall start accessing the target satellite not before t-Service, irrespectively of the type of satellite switching (i.e. hard- or soft-switching). This implies that even though the UE can measure the target satellite and acquire DL timing before t-Service (in case of soft-switching), it will not apply the new timing and frequency pre-compensation until after t-Service. </w:t>
      </w:r>
    </w:p>
    <w:p w14:paraId="56074E29" w14:textId="77777777" w:rsidR="00D87CE3" w:rsidRDefault="00D87CE3" w:rsidP="00D87CE3">
      <w:pPr>
        <w:jc w:val="both"/>
      </w:pPr>
      <w:r>
        <w:t xml:space="preserve">Once the UE successfully finishes the resynchronization towards the target satellite, it is ready to transmit and receive from the </w:t>
      </w:r>
      <w:proofErr w:type="spellStart"/>
      <w:r>
        <w:t>gNB</w:t>
      </w:r>
      <w:proofErr w:type="spellEnd"/>
      <w:r>
        <w:t xml:space="preserve">. In the handover procedure, when the UE has successfully completed the target cell access (i.e., UE is ready to TX/RX), it transmits an RRC Reconfiguration Complete message to confirm the NW that the procedure was successful completed. However, in the satellite switch with resync, no explicit UL transmission has been agreed for the UE to confirm a successful switching. </w:t>
      </w:r>
    </w:p>
    <w:p w14:paraId="714E4BE4" w14:textId="02193F81" w:rsidR="00D87CE3" w:rsidRDefault="00D87CE3" w:rsidP="00D87CE3">
      <w:pPr>
        <w:jc w:val="both"/>
        <w:rPr>
          <w:b/>
          <w:bCs/>
        </w:rPr>
      </w:pPr>
      <w:r>
        <w:rPr>
          <w:b/>
          <w:bCs/>
        </w:rPr>
        <w:t xml:space="preserve">Observation </w:t>
      </w:r>
      <w:r w:rsidR="003056FF">
        <w:rPr>
          <w:b/>
          <w:bCs/>
        </w:rPr>
        <w:t>1</w:t>
      </w:r>
      <w:r>
        <w:rPr>
          <w:b/>
          <w:bCs/>
        </w:rPr>
        <w:t>: When the handover procedure completion is confirmed, the NW acknowledges that the UE has successfully accessed the target cell.</w:t>
      </w:r>
    </w:p>
    <w:p w14:paraId="63C2513A" w14:textId="01987667" w:rsidR="00D87CE3" w:rsidRDefault="00D87CE3" w:rsidP="00D87CE3">
      <w:pPr>
        <w:jc w:val="both"/>
        <w:rPr>
          <w:b/>
          <w:bCs/>
        </w:rPr>
      </w:pPr>
      <w:r>
        <w:rPr>
          <w:b/>
          <w:bCs/>
        </w:rPr>
        <w:t xml:space="preserve">Observation </w:t>
      </w:r>
      <w:r w:rsidR="009C0646">
        <w:rPr>
          <w:b/>
          <w:bCs/>
        </w:rPr>
        <w:t>2</w:t>
      </w:r>
      <w:r>
        <w:rPr>
          <w:b/>
          <w:bCs/>
        </w:rPr>
        <w:t xml:space="preserve">: RAN2 has not agreed on any means for the UE to confirm the successful satellite switching which is a different approach than known e.g. from L3 mobility. Without switching confirmation, the NW can acknowledge whether the UE successfully switched and therefore it can only estimate when </w:t>
      </w:r>
      <w:proofErr w:type="gramStart"/>
      <w:r>
        <w:rPr>
          <w:b/>
          <w:bCs/>
        </w:rPr>
        <w:t xml:space="preserve">is </w:t>
      </w:r>
      <w:r w:rsidR="00602C72">
        <w:rPr>
          <w:b/>
          <w:bCs/>
        </w:rPr>
        <w:t>the right time</w:t>
      </w:r>
      <w:proofErr w:type="gramEnd"/>
      <w:r w:rsidR="00602C72">
        <w:rPr>
          <w:b/>
          <w:bCs/>
        </w:rPr>
        <w:t xml:space="preserve"> </w:t>
      </w:r>
      <w:r>
        <w:rPr>
          <w:b/>
          <w:bCs/>
        </w:rPr>
        <w:t>to send scheduling information.</w:t>
      </w:r>
    </w:p>
    <w:p w14:paraId="30B31163" w14:textId="51030EE8" w:rsidR="00D87CE3" w:rsidRDefault="00D87CE3" w:rsidP="00D87CE3">
      <w:pPr>
        <w:jc w:val="both"/>
      </w:pPr>
      <w:r>
        <w:t>A possible approach could be to mandate UEs to access the target satellite via RACH procedure, but it was also agreed that all UEs supporting satellite switch with resynchronization shall be able to perform this without RACH.</w:t>
      </w:r>
      <w:r w:rsidR="0089549F">
        <w:t xml:space="preserve"> Mandating all the UEs to perform RACH (e.g., via PDCCH order) is not a practical solution.</w:t>
      </w:r>
      <w:r>
        <w:t xml:space="preserve"> Thus, the NW has no means to realize that a particular UE has successfully resynchronized.</w:t>
      </w:r>
    </w:p>
    <w:p w14:paraId="2CBBDAA4" w14:textId="77777777" w:rsidR="00D87CE3" w:rsidRDefault="00D87CE3" w:rsidP="00D87CE3">
      <w:pPr>
        <w:jc w:val="both"/>
      </w:pPr>
      <w:r>
        <w:t xml:space="preserve">The satellite switch with resynchronization was a feature proposed during the normative phase of Rel-18 to reduce the signalling overhead. This has been used by some companies to argue that no UL transmission should be agreed for the UE to confirm the switching (i.e., a new per-UE UL transmission increases the UL signalling overhead). Furthermore, if every UE had to explicitly confirm the successful switching, it would be a waste of UL air interface resources. </w:t>
      </w:r>
    </w:p>
    <w:p w14:paraId="3DBFA018" w14:textId="3FD9A7CD" w:rsidR="00D87CE3" w:rsidRDefault="00D87CE3" w:rsidP="00D87CE3">
      <w:pPr>
        <w:jc w:val="both"/>
        <w:rPr>
          <w:b/>
          <w:bCs/>
        </w:rPr>
      </w:pPr>
      <w:r>
        <w:rPr>
          <w:b/>
          <w:bCs/>
        </w:rPr>
        <w:t xml:space="preserve">Observation </w:t>
      </w:r>
      <w:r w:rsidR="001D1B62">
        <w:rPr>
          <w:b/>
          <w:bCs/>
        </w:rPr>
        <w:t>3</w:t>
      </w:r>
      <w:r>
        <w:rPr>
          <w:b/>
          <w:bCs/>
        </w:rPr>
        <w:t xml:space="preserve">: If each UE performing satellite switching with resynchronization would have to explicitly confirm the success of this operation, that would be a waste of UL resources. </w:t>
      </w:r>
    </w:p>
    <w:p w14:paraId="7B6D7C60" w14:textId="77777777" w:rsidR="00D87CE3" w:rsidRDefault="00D87CE3" w:rsidP="00D87CE3">
      <w:pPr>
        <w:jc w:val="both"/>
      </w:pPr>
      <w:r>
        <w:t>Thus, it is justified to consider a form of an implicit confirmation. That is, if the UE has UL data to transmit, the NW could infer the switching was successful based on that first UL transmission. However, if the UE has no UL data to transmit, the NW has no means to acknowledge whether the UE did switch or not. Similarly, if the NW has DL data for that UE, the NW does not know if it should risk scheduling resources for a UE which has not confirmed its effective switch (even though the UE stays in the same cell).</w:t>
      </w:r>
    </w:p>
    <w:p w14:paraId="32496FE7" w14:textId="1C072D6E" w:rsidR="00D87CE3" w:rsidRDefault="00D87CE3" w:rsidP="00D87CE3">
      <w:pPr>
        <w:jc w:val="both"/>
        <w:rPr>
          <w:b/>
          <w:bCs/>
        </w:rPr>
      </w:pPr>
      <w:r>
        <w:rPr>
          <w:b/>
          <w:bCs/>
        </w:rPr>
        <w:t xml:space="preserve">Observation </w:t>
      </w:r>
      <w:r w:rsidR="001D1B62">
        <w:rPr>
          <w:b/>
          <w:bCs/>
        </w:rPr>
        <w:t>4</w:t>
      </w:r>
      <w:r>
        <w:rPr>
          <w:b/>
          <w:bCs/>
        </w:rPr>
        <w:t>: If the UE has UL data to transmit, the NW can infer the switching was successful. However, if the UE has no UL data to transmit, the NW has no means to confirm the successful switching.</w:t>
      </w:r>
    </w:p>
    <w:p w14:paraId="4656C2AA" w14:textId="77777777" w:rsidR="00D87CE3" w:rsidRDefault="00D87CE3" w:rsidP="00D87CE3">
      <w:pPr>
        <w:jc w:val="both"/>
      </w:pPr>
      <w:r>
        <w:t>The lack of up-to-date knowledge in the NW has the following consequences:</w:t>
      </w:r>
    </w:p>
    <w:p w14:paraId="0976D41F" w14:textId="5A669326" w:rsidR="00D87CE3" w:rsidRDefault="00D87CE3" w:rsidP="00D87CE3">
      <w:pPr>
        <w:jc w:val="both"/>
        <w:rPr>
          <w:b/>
          <w:bCs/>
        </w:rPr>
      </w:pPr>
      <w:r>
        <w:rPr>
          <w:b/>
          <w:bCs/>
        </w:rPr>
        <w:t xml:space="preserve">Observation </w:t>
      </w:r>
      <w:r w:rsidR="001D1B62">
        <w:rPr>
          <w:b/>
          <w:bCs/>
        </w:rPr>
        <w:t>5</w:t>
      </w:r>
      <w:r>
        <w:rPr>
          <w:b/>
          <w:bCs/>
        </w:rPr>
        <w:t>: NW may keep locked resources and send scheduling resources over PDCCH for a UE that failed to complete the satellite switching for an undetermined period.</w:t>
      </w:r>
    </w:p>
    <w:p w14:paraId="2EB44D01" w14:textId="77777777" w:rsidR="00D87CE3" w:rsidRDefault="00D87CE3" w:rsidP="00D87CE3">
      <w:pPr>
        <w:jc w:val="both"/>
      </w:pPr>
      <w:r>
        <w:t>It is also worth noting that even the UE that has successfully done the resynchronization, may not send anything in the UL right after the switching, so NW will not know its status.</w:t>
      </w:r>
    </w:p>
    <w:p w14:paraId="55FAEB7D" w14:textId="2C280FDE" w:rsidR="00D87CE3" w:rsidRDefault="00D87CE3" w:rsidP="00D87CE3">
      <w:pPr>
        <w:jc w:val="both"/>
        <w:rPr>
          <w:b/>
          <w:bCs/>
        </w:rPr>
      </w:pPr>
      <w:r>
        <w:rPr>
          <w:b/>
          <w:bCs/>
        </w:rPr>
        <w:t xml:space="preserve">Observation </w:t>
      </w:r>
      <w:r w:rsidR="00C15BF8">
        <w:rPr>
          <w:b/>
          <w:bCs/>
        </w:rPr>
        <w:t>6</w:t>
      </w:r>
      <w:r>
        <w:rPr>
          <w:b/>
          <w:bCs/>
        </w:rPr>
        <w:t>: UE that successfully completed the resynchronization process may not send any UL transmission upon the satellite switching, which leaves the NW unacknowledged of the successful switching.</w:t>
      </w:r>
    </w:p>
    <w:p w14:paraId="01C6E169" w14:textId="77777777" w:rsidR="00B358C1" w:rsidRDefault="00FF121D" w:rsidP="00D87CE3">
      <w:pPr>
        <w:jc w:val="both"/>
      </w:pPr>
      <w:r w:rsidRPr="00254350">
        <w:lastRenderedPageBreak/>
        <w:t>There have been comments expressed</w:t>
      </w:r>
      <w:r w:rsidR="00B358C1">
        <w:t xml:space="preserve"> at RAN2#125bis</w:t>
      </w:r>
      <w:r w:rsidRPr="00254350">
        <w:t xml:space="preserve"> </w:t>
      </w:r>
      <w:r w:rsidR="005721BF">
        <w:t>that the legacy RLF handling mechanism could be applicable</w:t>
      </w:r>
      <w:r w:rsidR="00B358C1">
        <w:t>:</w:t>
      </w:r>
      <w:r w:rsidR="005721BF">
        <w:t xml:space="preserve"> the “lost</w:t>
      </w:r>
      <w:r w:rsidR="00A05B02">
        <w:t>” UE will encounter a failure and will attempt to recover from it. Of course, that is always an option,</w:t>
      </w:r>
      <w:r w:rsidR="00B358C1">
        <w:t xml:space="preserve"> but it shall be the last resort.</w:t>
      </w:r>
    </w:p>
    <w:p w14:paraId="7E64AEEB" w14:textId="0B5CA3A8" w:rsidR="00FF121D" w:rsidRPr="00827C80" w:rsidRDefault="00B358C1" w:rsidP="00D87CE3">
      <w:pPr>
        <w:jc w:val="both"/>
        <w:rPr>
          <w:b/>
          <w:bCs/>
        </w:rPr>
      </w:pPr>
      <w:r w:rsidRPr="00254350">
        <w:rPr>
          <w:b/>
          <w:bCs/>
        </w:rPr>
        <w:t xml:space="preserve">Observation 7: </w:t>
      </w:r>
      <w:r w:rsidR="00E3479C" w:rsidRPr="00254350">
        <w:rPr>
          <w:b/>
          <w:bCs/>
        </w:rPr>
        <w:t xml:space="preserve">It shall be the last resort to rely on legacy RLF handling for the UEs that did not manage to confirm their </w:t>
      </w:r>
      <w:r w:rsidR="00827C80" w:rsidRPr="00254350">
        <w:rPr>
          <w:b/>
          <w:bCs/>
        </w:rPr>
        <w:t>switching during satellite switch with resynchronization.</w:t>
      </w:r>
      <w:r w:rsidR="00A05B02" w:rsidRPr="00254350">
        <w:rPr>
          <w:b/>
          <w:bCs/>
        </w:rPr>
        <w:t xml:space="preserve"> </w:t>
      </w:r>
    </w:p>
    <w:p w14:paraId="1629093B" w14:textId="17F5832E" w:rsidR="00D87CE3" w:rsidRDefault="00D87CE3" w:rsidP="00D87CE3">
      <w:pPr>
        <w:jc w:val="both"/>
      </w:pPr>
      <w:r>
        <w:t xml:space="preserve">Thus, we suggest the following, despite Rel-18 is </w:t>
      </w:r>
      <w:r w:rsidR="00827C80">
        <w:t>nearly</w:t>
      </w:r>
      <w:r>
        <w:t xml:space="preserve"> closed:</w:t>
      </w:r>
    </w:p>
    <w:p w14:paraId="3F53E8B6" w14:textId="40B632C9" w:rsidR="00D87CE3" w:rsidRDefault="00D87CE3" w:rsidP="00D87CE3">
      <w:pPr>
        <w:jc w:val="both"/>
        <w:rPr>
          <w:b/>
          <w:bCs/>
        </w:rPr>
      </w:pPr>
      <w:r>
        <w:rPr>
          <w:b/>
          <w:bCs/>
        </w:rPr>
        <w:t xml:space="preserve">Proposal </w:t>
      </w:r>
      <w:r w:rsidR="00C15BF8">
        <w:rPr>
          <w:b/>
          <w:bCs/>
        </w:rPr>
        <w:t>1</w:t>
      </w:r>
      <w:r>
        <w:rPr>
          <w:b/>
          <w:bCs/>
        </w:rPr>
        <w:t>: RAN2 to discuss means for reducing the NW uncertainty in case of satellite switching with resynchronization.</w:t>
      </w:r>
      <w:r w:rsidR="0033279B">
        <w:rPr>
          <w:b/>
          <w:bCs/>
        </w:rPr>
        <w:t xml:space="preserve"> The potential solution shall work with PDCCH-ordered RA.</w:t>
      </w:r>
    </w:p>
    <w:p w14:paraId="11136483" w14:textId="77777777" w:rsidR="00D87CE3" w:rsidRDefault="00D87CE3" w:rsidP="00D87CE3">
      <w:pPr>
        <w:jc w:val="both"/>
      </w:pPr>
      <w:r>
        <w:t xml:space="preserve">In our view, the NW should wait for some finite time before making conclusions regarding UE’s status and whether it has successfully switched. Namely, if the NW does not hear from the UE within the time window (e.g. prior to timer expiry), the NW shall assume the UE has not managed to switch. As the UE can switch at the t-Service or later, it would make sense to measure this time since t-Service. Obviously, once the UE sends something in the UL, there is no need to monitor anymore the time that has passed since t-Service. However, if the timer expires, the NW shall release the resources for this particular UE and consider it has not managed to switch the satellite. </w:t>
      </w:r>
    </w:p>
    <w:p w14:paraId="3003B9A0" w14:textId="28C70FE7" w:rsidR="00D87CE3" w:rsidRDefault="00D87CE3" w:rsidP="00D87CE3">
      <w:pPr>
        <w:jc w:val="both"/>
        <w:rPr>
          <w:b/>
          <w:bCs/>
        </w:rPr>
      </w:pPr>
      <w:r>
        <w:rPr>
          <w:b/>
          <w:bCs/>
        </w:rPr>
        <w:t xml:space="preserve">Proposal </w:t>
      </w:r>
      <w:r w:rsidR="0084584C">
        <w:rPr>
          <w:b/>
          <w:bCs/>
        </w:rPr>
        <w:t>2</w:t>
      </w:r>
      <w:r>
        <w:rPr>
          <w:b/>
          <w:bCs/>
        </w:rPr>
        <w:t>: RAN2 to agree on a NW-controlled timer that starts at t-Service, stops upon UE UL confirmation and allows the NW to release UE-specific resources upon timer’s expiration.</w:t>
      </w:r>
    </w:p>
    <w:p w14:paraId="19F50645" w14:textId="77777777" w:rsidR="00D87CE3" w:rsidRDefault="00D87CE3" w:rsidP="00D87CE3">
      <w:pPr>
        <w:jc w:val="both"/>
      </w:pPr>
      <w:r>
        <w:t>If Proposal 2 is agreeable, RAN2 should also decide what exactly happens when the timer expires, as there might be two different cases here:</w:t>
      </w:r>
    </w:p>
    <w:p w14:paraId="67FE420E" w14:textId="77777777" w:rsidR="00D87CE3" w:rsidRDefault="00D87CE3" w:rsidP="00D87CE3">
      <w:pPr>
        <w:pStyle w:val="ListParagraph"/>
        <w:numPr>
          <w:ilvl w:val="0"/>
          <w:numId w:val="27"/>
        </w:numPr>
        <w:jc w:val="both"/>
      </w:pPr>
      <w:r>
        <w:t xml:space="preserve">the timer has </w:t>
      </w:r>
      <w:proofErr w:type="gramStart"/>
      <w:r>
        <w:t>expired</w:t>
      </w:r>
      <w:proofErr w:type="gramEnd"/>
      <w:r>
        <w:t xml:space="preserve"> and the UE has not managed to switch to the new satellite,</w:t>
      </w:r>
    </w:p>
    <w:p w14:paraId="20390DBF" w14:textId="77777777" w:rsidR="00D87CE3" w:rsidRDefault="00D87CE3" w:rsidP="00D87CE3">
      <w:pPr>
        <w:pStyle w:val="ListParagraph"/>
        <w:numPr>
          <w:ilvl w:val="0"/>
          <w:numId w:val="27"/>
        </w:numPr>
        <w:jc w:val="both"/>
      </w:pPr>
      <w:r>
        <w:t xml:space="preserve">the timer has expired, but the UE has managed to resynchronize to a new satellite. </w:t>
      </w:r>
    </w:p>
    <w:p w14:paraId="47D11920" w14:textId="12C8B69B" w:rsidR="00D87CE3" w:rsidRDefault="00D87CE3" w:rsidP="00D87CE3">
      <w:pPr>
        <w:jc w:val="both"/>
      </w:pPr>
      <w:r>
        <w:t xml:space="preserve">In case of a) it is relatively clear – the UE is lost. It can potentially </w:t>
      </w:r>
      <w:r w:rsidR="003E1559">
        <w:t xml:space="preserve">trigger RLF, </w:t>
      </w:r>
      <w:r>
        <w:t xml:space="preserve">go to IDLE, attempt a reestablishment, etc. In the case b) it is not so obvious what to do. On one hand, the behaviour could be aligned with a). On the other, it is a pity not to serve the UE that has managed to perform satellite switching with resynchronization, just because such UE has not performed any UL or DL data exchange prior to timer’s expiry. </w:t>
      </w:r>
    </w:p>
    <w:p w14:paraId="3BBDB811" w14:textId="3178B146" w:rsidR="00D87CE3" w:rsidRDefault="00D87CE3" w:rsidP="00D87CE3">
      <w:pPr>
        <w:jc w:val="both"/>
        <w:rPr>
          <w:b/>
        </w:rPr>
      </w:pPr>
      <w:r>
        <w:rPr>
          <w:b/>
        </w:rPr>
        <w:t xml:space="preserve">Observation </w:t>
      </w:r>
      <w:r w:rsidR="00824B19">
        <w:rPr>
          <w:b/>
        </w:rPr>
        <w:t>8</w:t>
      </w:r>
      <w:r>
        <w:rPr>
          <w:b/>
        </w:rPr>
        <w:t xml:space="preserve">: When the timer expires and the UE has not switched the satellite, the NW assumes the UE is lost and will perform reestablishment. </w:t>
      </w:r>
    </w:p>
    <w:p w14:paraId="784B3D0A" w14:textId="66796FF3" w:rsidR="00D87CE3" w:rsidRDefault="00D87CE3" w:rsidP="00D87CE3">
      <w:pPr>
        <w:jc w:val="both"/>
        <w:rPr>
          <w:b/>
        </w:rPr>
      </w:pPr>
      <w:r>
        <w:rPr>
          <w:b/>
        </w:rPr>
        <w:t xml:space="preserve">Observation </w:t>
      </w:r>
      <w:r w:rsidR="00824B19">
        <w:rPr>
          <w:b/>
        </w:rPr>
        <w:t>9</w:t>
      </w:r>
      <w:r>
        <w:rPr>
          <w:b/>
        </w:rPr>
        <w:t xml:space="preserve">: The UE that has managed to resynchronize to a new </w:t>
      </w:r>
      <w:r>
        <w:rPr>
          <w:b/>
          <w:bCs/>
        </w:rPr>
        <w:t>satellite but</w:t>
      </w:r>
      <w:r>
        <w:rPr>
          <w:b/>
        </w:rPr>
        <w:t xml:space="preserve"> had no UL/DL transmissions prior to timer expiry, shall not be considered as lost and shall not perform the reestablishment.   </w:t>
      </w:r>
    </w:p>
    <w:p w14:paraId="797192CE" w14:textId="5BC8AB7F" w:rsidR="00D87CE3" w:rsidRDefault="00D87CE3" w:rsidP="00D87CE3">
      <w:pPr>
        <w:jc w:val="both"/>
      </w:pPr>
      <w:r>
        <w:t xml:space="preserve">Thus, in order to let the UEs that managed to switch, but it has not been confirmed in any way, survive, we think such UE should be allowed to send something in UL upon the timer expiry. It could be a Scheduling Request (SR). </w:t>
      </w:r>
    </w:p>
    <w:p w14:paraId="1519D184" w14:textId="4DF6D657" w:rsidR="00D87CE3" w:rsidRDefault="00D87CE3" w:rsidP="00D87CE3">
      <w:pPr>
        <w:jc w:val="both"/>
      </w:pPr>
      <w:r>
        <w:rPr>
          <w:b/>
          <w:bCs/>
        </w:rPr>
        <w:t xml:space="preserve">Proposal </w:t>
      </w:r>
      <w:r w:rsidR="00640859">
        <w:rPr>
          <w:b/>
          <w:bCs/>
        </w:rPr>
        <w:t>3</w:t>
      </w:r>
      <w:r>
        <w:rPr>
          <w:b/>
          <w:bCs/>
        </w:rPr>
        <w:t xml:space="preserve">: In case a UE successfully completed the satellite switching but NW did not receive any UL confirmation, upon timer expiration a UE can </w:t>
      </w:r>
      <w:r w:rsidR="00640859">
        <w:rPr>
          <w:b/>
          <w:bCs/>
        </w:rPr>
        <w:t xml:space="preserve">trigger </w:t>
      </w:r>
      <w:r>
        <w:rPr>
          <w:b/>
          <w:bCs/>
        </w:rPr>
        <w:t>an SR</w:t>
      </w:r>
      <w:r w:rsidR="00B1553E">
        <w:rPr>
          <w:b/>
          <w:bCs/>
        </w:rPr>
        <w:t xml:space="preserve"> to inform </w:t>
      </w:r>
      <w:r w:rsidR="005B28FD">
        <w:rPr>
          <w:b/>
          <w:bCs/>
        </w:rPr>
        <w:t>NW for the switching</w:t>
      </w:r>
      <w:r>
        <w:rPr>
          <w:b/>
          <w:bCs/>
        </w:rPr>
        <w:t>.</w:t>
      </w:r>
    </w:p>
    <w:p w14:paraId="1A875EFE" w14:textId="77777777" w:rsidR="00D87CE3" w:rsidRDefault="00D87CE3" w:rsidP="00D87CE3">
      <w:pPr>
        <w:jc w:val="both"/>
      </w:pPr>
      <w:r>
        <w:t xml:space="preserve">The timer could be configured uniformly for all UEs in the cell (i.e. as a part of SIB19). This would be in line with the general approach to satellite switching with resynchronization, wherein the signalling overload is to be avoided. </w:t>
      </w:r>
    </w:p>
    <w:p w14:paraId="5653E5ED" w14:textId="1189948F" w:rsidR="00D87CE3" w:rsidRDefault="00D87CE3" w:rsidP="00D87CE3">
      <w:pPr>
        <w:jc w:val="both"/>
        <w:rPr>
          <w:b/>
        </w:rPr>
      </w:pPr>
      <w:r>
        <w:rPr>
          <w:b/>
        </w:rPr>
        <w:t xml:space="preserve">Proposal </w:t>
      </w:r>
      <w:r w:rsidR="003456D4">
        <w:rPr>
          <w:b/>
        </w:rPr>
        <w:t>4</w:t>
      </w:r>
      <w:r>
        <w:rPr>
          <w:b/>
        </w:rPr>
        <w:t xml:space="preserve">: Timer controlling how long the NW keeps the UE-specific resources in satellite switching with resynchronization can be signalled in SIB19. </w:t>
      </w:r>
    </w:p>
    <w:p w14:paraId="6BA8A304" w14:textId="77777777" w:rsidR="00D87CE3" w:rsidRDefault="00D87CE3" w:rsidP="00D87CE3">
      <w:pPr>
        <w:jc w:val="both"/>
      </w:pPr>
      <w:r>
        <w:t>However, if the NW knows that different UEs may need different duration to complete such resynchronization (e.g. knowing UE’s capabilities or UE’s UL buffer status), the timer can be also configured individually or per group of UEs.</w:t>
      </w:r>
    </w:p>
    <w:p w14:paraId="3F82BC33" w14:textId="6614FA54" w:rsidR="00D87CE3" w:rsidRDefault="00D87CE3" w:rsidP="00D87CE3">
      <w:pPr>
        <w:jc w:val="both"/>
      </w:pPr>
      <w:r>
        <w:rPr>
          <w:b/>
        </w:rPr>
        <w:t xml:space="preserve">Proposal </w:t>
      </w:r>
      <w:r w:rsidR="003456D4">
        <w:rPr>
          <w:b/>
          <w:bCs/>
        </w:rPr>
        <w:t>5</w:t>
      </w:r>
      <w:r>
        <w:rPr>
          <w:b/>
        </w:rPr>
        <w:t xml:space="preserve">: </w:t>
      </w:r>
      <w:r>
        <w:rPr>
          <w:b/>
          <w:bCs/>
        </w:rPr>
        <w:t>Timer controlling how long the NW keeps the UE-specific resources in satellite switching with resynchronization can be UE-specific and depend on UE’s capabilities or UE’s UL buffer.</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Default="009339CB" w:rsidP="009339CB">
      <w:r>
        <w:t>This document has made the following observations:</w:t>
      </w:r>
    </w:p>
    <w:p w14:paraId="06C5444D" w14:textId="77777777" w:rsidR="002D4FF6" w:rsidRDefault="002D4FF6" w:rsidP="002D4FF6">
      <w:pPr>
        <w:jc w:val="both"/>
        <w:rPr>
          <w:b/>
          <w:bCs/>
        </w:rPr>
      </w:pPr>
      <w:r>
        <w:rPr>
          <w:b/>
          <w:bCs/>
        </w:rPr>
        <w:t>Observation 1: When the handover procedure completion is confirmed, the NW acknowledges that the UE has successfully accessed the target cell.</w:t>
      </w:r>
    </w:p>
    <w:p w14:paraId="58DA042E" w14:textId="77777777" w:rsidR="002D4FF6" w:rsidRDefault="002D4FF6" w:rsidP="002D4FF6">
      <w:pPr>
        <w:jc w:val="both"/>
        <w:rPr>
          <w:b/>
          <w:bCs/>
        </w:rPr>
      </w:pPr>
      <w:r>
        <w:rPr>
          <w:b/>
          <w:bCs/>
        </w:rPr>
        <w:lastRenderedPageBreak/>
        <w:t xml:space="preserve">Observation 2: RAN2 has not agreed on any means for the UE to confirm the successful satellite switching which is a different approach than known e.g. from L3 mobility. Without switching confirmation, the NW can acknowledge whether the UE successfully switched and therefore it can only estimate when </w:t>
      </w:r>
      <w:proofErr w:type="gramStart"/>
      <w:r>
        <w:rPr>
          <w:b/>
          <w:bCs/>
        </w:rPr>
        <w:t>is the right time</w:t>
      </w:r>
      <w:proofErr w:type="gramEnd"/>
      <w:r>
        <w:rPr>
          <w:b/>
          <w:bCs/>
        </w:rPr>
        <w:t xml:space="preserve"> to send scheduling information.</w:t>
      </w:r>
    </w:p>
    <w:p w14:paraId="259E30CF" w14:textId="77777777" w:rsidR="002D4FF6" w:rsidRDefault="002D4FF6" w:rsidP="002D4FF6">
      <w:pPr>
        <w:jc w:val="both"/>
        <w:rPr>
          <w:b/>
          <w:bCs/>
        </w:rPr>
      </w:pPr>
      <w:r>
        <w:rPr>
          <w:b/>
          <w:bCs/>
        </w:rPr>
        <w:t xml:space="preserve">Observation 3: If each UE performing satellite switching with resynchronization would have to explicitly confirm the success of this operation, that would be a waste of UL resources. </w:t>
      </w:r>
    </w:p>
    <w:p w14:paraId="498261DD" w14:textId="77777777" w:rsidR="002D4FF6" w:rsidRDefault="002D4FF6" w:rsidP="002D4FF6">
      <w:pPr>
        <w:jc w:val="both"/>
        <w:rPr>
          <w:b/>
          <w:bCs/>
        </w:rPr>
      </w:pPr>
      <w:r>
        <w:rPr>
          <w:b/>
          <w:bCs/>
        </w:rPr>
        <w:t>Observation 4: If the UE has UL data to transmit, the NW can infer the switching was successful. However, if the UE has no UL data to transmit, the NW has no means to confirm the successful switching.</w:t>
      </w:r>
    </w:p>
    <w:p w14:paraId="71B844BA" w14:textId="77777777" w:rsidR="002D4FF6" w:rsidRDefault="002D4FF6" w:rsidP="002D4FF6">
      <w:pPr>
        <w:jc w:val="both"/>
        <w:rPr>
          <w:b/>
          <w:bCs/>
        </w:rPr>
      </w:pPr>
      <w:r>
        <w:rPr>
          <w:b/>
          <w:bCs/>
        </w:rPr>
        <w:t>Observation 5: NW may keep locked resources and send scheduling resources over PDCCH for a UE that failed to complete the satellite switching for an undetermined period.</w:t>
      </w:r>
    </w:p>
    <w:p w14:paraId="02D06139" w14:textId="77777777" w:rsidR="002D4FF6" w:rsidRDefault="002D4FF6" w:rsidP="002D4FF6">
      <w:pPr>
        <w:jc w:val="both"/>
        <w:rPr>
          <w:b/>
          <w:bCs/>
        </w:rPr>
      </w:pPr>
      <w:r>
        <w:rPr>
          <w:b/>
          <w:bCs/>
        </w:rPr>
        <w:t>Observation 6: UE that successfully completed the resynchronization process may not send any UL transmission upon the satellite switching, which leaves the NW unacknowledged of the successful switching.</w:t>
      </w:r>
    </w:p>
    <w:p w14:paraId="1E790C18" w14:textId="77777777" w:rsidR="002D4FF6" w:rsidRPr="00827C80" w:rsidRDefault="002D4FF6" w:rsidP="002D4FF6">
      <w:pPr>
        <w:jc w:val="both"/>
        <w:rPr>
          <w:b/>
          <w:bCs/>
        </w:rPr>
      </w:pPr>
      <w:r w:rsidRPr="007105AF">
        <w:rPr>
          <w:b/>
          <w:bCs/>
        </w:rPr>
        <w:t xml:space="preserve">Observation 7: It shall be the last resort to rely on legacy RLF handling for the UEs that did not manage to confirm their switching during satellite switch with resynchronization. </w:t>
      </w:r>
    </w:p>
    <w:p w14:paraId="560FAA35" w14:textId="77777777" w:rsidR="002D4FF6" w:rsidRDefault="002D4FF6" w:rsidP="002D4FF6">
      <w:pPr>
        <w:jc w:val="both"/>
        <w:rPr>
          <w:b/>
        </w:rPr>
      </w:pPr>
      <w:r>
        <w:rPr>
          <w:b/>
        </w:rPr>
        <w:t xml:space="preserve">Observation 8: When the timer expires and the UE has not switched the satellite, the NW assumes the UE is lost and will perform reestablishment. </w:t>
      </w:r>
    </w:p>
    <w:p w14:paraId="274010F3" w14:textId="10659A87" w:rsidR="002D4FF6" w:rsidRPr="00254350" w:rsidRDefault="002D4FF6" w:rsidP="00254350">
      <w:pPr>
        <w:jc w:val="both"/>
        <w:rPr>
          <w:b/>
        </w:rPr>
      </w:pPr>
      <w:r>
        <w:rPr>
          <w:b/>
        </w:rPr>
        <w:t xml:space="preserve">Observation 9: The UE that has managed to resynchronize to a new </w:t>
      </w:r>
      <w:r>
        <w:rPr>
          <w:b/>
          <w:bCs/>
        </w:rPr>
        <w:t>satellite but</w:t>
      </w:r>
      <w:r>
        <w:rPr>
          <w:b/>
        </w:rPr>
        <w:t xml:space="preserve"> had no UL/DL transmissions prior to timer expiry, shall not be considered as lost and shall not perform the reestablishment.   </w:t>
      </w:r>
    </w:p>
    <w:p w14:paraId="3BE72BE2" w14:textId="77777777" w:rsidR="009339CB" w:rsidRPr="004F4540" w:rsidRDefault="009339CB" w:rsidP="009339CB">
      <w:pPr>
        <w:rPr>
          <w:bCs/>
        </w:rPr>
      </w:pPr>
      <w:r>
        <w:rPr>
          <w:bCs/>
        </w:rPr>
        <w:t>And proposed the following:</w:t>
      </w:r>
    </w:p>
    <w:p w14:paraId="1A63AA4D" w14:textId="77777777" w:rsidR="002D4FF6" w:rsidRDefault="002D4FF6" w:rsidP="002D4FF6">
      <w:pPr>
        <w:jc w:val="both"/>
        <w:rPr>
          <w:b/>
          <w:bCs/>
        </w:rPr>
      </w:pPr>
      <w:r>
        <w:rPr>
          <w:b/>
          <w:bCs/>
        </w:rPr>
        <w:t>Proposal 1: RAN2 to discuss means for reducing the NW uncertainty in case of satellite switching with resynchronization. The potential solution shall work with PDCCH-ordered RA.</w:t>
      </w:r>
    </w:p>
    <w:p w14:paraId="00665020" w14:textId="77777777" w:rsidR="002D4FF6" w:rsidRDefault="002D4FF6" w:rsidP="002D4FF6">
      <w:pPr>
        <w:jc w:val="both"/>
        <w:rPr>
          <w:b/>
          <w:bCs/>
        </w:rPr>
      </w:pPr>
      <w:r>
        <w:rPr>
          <w:b/>
          <w:bCs/>
        </w:rPr>
        <w:t>Proposal 2: RAN2 to agree on a NW-controlled timer that starts at t-Service, stops upon UE UL confirmation and allows the NW to release UE-specific resources upon timer’s expiration.</w:t>
      </w:r>
    </w:p>
    <w:p w14:paraId="6A9E16E2" w14:textId="77777777" w:rsidR="002D4FF6" w:rsidRDefault="002D4FF6" w:rsidP="002D4FF6">
      <w:pPr>
        <w:jc w:val="both"/>
      </w:pPr>
      <w:r>
        <w:rPr>
          <w:b/>
          <w:bCs/>
        </w:rPr>
        <w:t>Proposal 3: In case a UE successfully completed the satellite switching but NW did not receive any UL confirmation, upon timer expiration a UE can trigger an SR to inform NW for the switching.</w:t>
      </w:r>
    </w:p>
    <w:p w14:paraId="6C2CA672" w14:textId="77777777" w:rsidR="002D4FF6" w:rsidRDefault="002D4FF6" w:rsidP="002D4FF6">
      <w:pPr>
        <w:jc w:val="both"/>
        <w:rPr>
          <w:b/>
        </w:rPr>
      </w:pPr>
      <w:r>
        <w:rPr>
          <w:b/>
        </w:rPr>
        <w:t xml:space="preserve">Proposal 4: Timer controlling how long the NW keeps the UE-specific resources in satellite switching with resynchronization can be signalled in SIB19. </w:t>
      </w:r>
    </w:p>
    <w:p w14:paraId="2277546F" w14:textId="7AD17001" w:rsidR="009339CB" w:rsidRPr="006E13D1" w:rsidRDefault="002D4FF6" w:rsidP="009339CB">
      <w:r>
        <w:rPr>
          <w:b/>
        </w:rPr>
        <w:t xml:space="preserve">Proposal </w:t>
      </w:r>
      <w:r>
        <w:rPr>
          <w:b/>
          <w:bCs/>
        </w:rPr>
        <w:t>5</w:t>
      </w:r>
      <w:r>
        <w:rPr>
          <w:b/>
        </w:rPr>
        <w:t xml:space="preserve">: </w:t>
      </w:r>
      <w:r>
        <w:rPr>
          <w:b/>
          <w:bCs/>
        </w:rPr>
        <w:t>Timer controlling how long the NW keeps the UE-specific resources in satellite switching with resynchronization can be UE-specific and depend on UE’s capabilities or UE’s UL buffer.</w:t>
      </w:r>
    </w:p>
    <w:p w14:paraId="47D8EB68" w14:textId="77777777" w:rsidR="00BF2EC7" w:rsidRDefault="00BF2EC7" w:rsidP="00BF2EC7">
      <w:pPr>
        <w:pStyle w:val="Heading1"/>
      </w:pPr>
      <w:r>
        <w:t>References</w:t>
      </w:r>
    </w:p>
    <w:p w14:paraId="67CBC448" w14:textId="77777777" w:rsidR="00BF2EC7" w:rsidRPr="0010196F" w:rsidRDefault="00BF2EC7" w:rsidP="00BF2EC7">
      <w:pPr>
        <w:pStyle w:val="ListParagraph"/>
        <w:numPr>
          <w:ilvl w:val="0"/>
          <w:numId w:val="23"/>
        </w:numPr>
      </w:pPr>
      <w:bookmarkStart w:id="0" w:name="_Ref161782819"/>
      <w:r>
        <w:t xml:space="preserve">R2-2401543 </w:t>
      </w:r>
      <w:r>
        <w:rPr>
          <w:i/>
          <w:iCs/>
        </w:rPr>
        <w:t>Report from Break-out session on NR-NTN and IoT-NTN</w:t>
      </w:r>
      <w:r>
        <w:t xml:space="preserve"> 3GPP TSG-RAN WG2 Meeting #125 Athe</w:t>
      </w:r>
      <w:r w:rsidRPr="0010196F">
        <w:t>ns, Greece, Feb 26</w:t>
      </w:r>
      <w:r w:rsidRPr="0010196F">
        <w:rPr>
          <w:vertAlign w:val="superscript"/>
        </w:rPr>
        <w:t>th</w:t>
      </w:r>
      <w:r w:rsidRPr="0010196F">
        <w:t xml:space="preserve"> – Mar 1</w:t>
      </w:r>
      <w:r w:rsidRPr="0010196F">
        <w:rPr>
          <w:vertAlign w:val="superscript"/>
        </w:rPr>
        <w:t>st</w:t>
      </w:r>
      <w:r w:rsidRPr="0010196F">
        <w:t>, 2024</w:t>
      </w:r>
      <w:bookmarkEnd w:id="0"/>
    </w:p>
    <w:p w14:paraId="624AC873" w14:textId="4FC2C3FC" w:rsidR="00BF2EC7" w:rsidRDefault="00BF2EC7" w:rsidP="00BF2EC7">
      <w:pPr>
        <w:pStyle w:val="ListParagraph"/>
        <w:numPr>
          <w:ilvl w:val="0"/>
          <w:numId w:val="23"/>
        </w:numPr>
      </w:pPr>
      <w:r w:rsidRPr="00254350">
        <w:t>R2-240</w:t>
      </w:r>
      <w:r w:rsidR="0010196F" w:rsidRPr="00254350">
        <w:t>3733</w:t>
      </w:r>
      <w:r w:rsidRPr="0010196F">
        <w:t xml:space="preserve"> </w:t>
      </w:r>
      <w:r w:rsidRPr="0010196F">
        <w:rPr>
          <w:i/>
          <w:iCs/>
        </w:rPr>
        <w:t>Report from Break-out session on NR-NTN and IoT-NTN</w:t>
      </w:r>
      <w:r w:rsidRPr="0010196F">
        <w:t xml:space="preserve"> 3GPP TSG-RAN WG2 Meeting #125</w:t>
      </w:r>
      <w:r w:rsidR="00FD3DE5" w:rsidRPr="0010196F">
        <w:t>bis</w:t>
      </w:r>
      <w:r w:rsidRPr="0010196F">
        <w:t xml:space="preserve"> </w:t>
      </w:r>
      <w:r w:rsidR="00AA6859" w:rsidRPr="0010196F">
        <w:t>Changsha</w:t>
      </w:r>
      <w:r w:rsidR="00AA6859">
        <w:t>, China, 15th – 19th of April 2024</w:t>
      </w:r>
    </w:p>
    <w:p w14:paraId="0F35E449" w14:textId="7583F494" w:rsidR="00BF2EC7" w:rsidRDefault="00BF2EC7" w:rsidP="00BF2EC7">
      <w:pPr>
        <w:pStyle w:val="ListParagraph"/>
        <w:numPr>
          <w:ilvl w:val="0"/>
          <w:numId w:val="23"/>
        </w:numPr>
      </w:pPr>
      <w:r>
        <w:t xml:space="preserve">3GPP </w:t>
      </w:r>
      <w:r>
        <w:rPr>
          <w:i/>
          <w:iCs/>
        </w:rPr>
        <w:t>TS 38.331 NR RRC</w:t>
      </w:r>
      <w:r>
        <w:t>, v18.1.0, March 2024</w:t>
      </w:r>
    </w:p>
    <w:p w14:paraId="21838E1A" w14:textId="7B0EBDD2" w:rsidR="00BF2EC7" w:rsidRDefault="00BF2EC7" w:rsidP="00BF2EC7">
      <w:pPr>
        <w:pStyle w:val="ListParagraph"/>
        <w:numPr>
          <w:ilvl w:val="0"/>
          <w:numId w:val="23"/>
        </w:numPr>
      </w:pPr>
      <w:r>
        <w:t xml:space="preserve"> R2-2313052 </w:t>
      </w:r>
      <w:r>
        <w:rPr>
          <w:i/>
          <w:iCs/>
        </w:rPr>
        <w:t>Remaining Issues for Satellite Switching without L3 Mobility</w:t>
      </w:r>
      <w:r>
        <w:t xml:space="preserve"> 3GPP TSG-RAN WG2 Meeting #124</w:t>
      </w:r>
      <w:r>
        <w:tab/>
        <w:t xml:space="preserve"> Chicago, USA, 13th – 17th of November 2023</w:t>
      </w:r>
    </w:p>
    <w:p w14:paraId="2BC1AB63" w14:textId="6B7F54C6" w:rsidR="006A5230" w:rsidRDefault="006A5230" w:rsidP="006A5230">
      <w:pPr>
        <w:pStyle w:val="ListParagraph"/>
        <w:numPr>
          <w:ilvl w:val="0"/>
          <w:numId w:val="23"/>
        </w:numPr>
      </w:pPr>
      <w:bookmarkStart w:id="1" w:name="_Ref165468424"/>
      <w:r>
        <w:t>R2-</w:t>
      </w:r>
      <w:r w:rsidR="00707D78" w:rsidRPr="00707D78">
        <w:t>2403192</w:t>
      </w:r>
      <w:r>
        <w:t xml:space="preserve"> </w:t>
      </w:r>
      <w:r w:rsidR="00AA6859" w:rsidRPr="00AA6859">
        <w:rPr>
          <w:i/>
          <w:iCs/>
        </w:rPr>
        <w:t>[H063] RACH-based satellite switching with re-sync</w:t>
      </w:r>
      <w:r w:rsidR="00AA6859">
        <w:t xml:space="preserve"> Huawei, HiSilicon, Nokia, Nokia Shanghai Bell,</w:t>
      </w:r>
      <w:r>
        <w:t xml:space="preserve"> 3GPP TSG-RAN WG2 Meeting #12</w:t>
      </w:r>
      <w:r w:rsidR="00AA6859">
        <w:t>5bis</w:t>
      </w:r>
      <w:r>
        <w:t xml:space="preserve"> </w:t>
      </w:r>
      <w:r w:rsidR="00AA6859">
        <w:t>Changsha</w:t>
      </w:r>
      <w:r>
        <w:t xml:space="preserve">, </w:t>
      </w:r>
      <w:r w:rsidR="00AA6859">
        <w:t>China</w:t>
      </w:r>
      <w:r>
        <w:t>, 1</w:t>
      </w:r>
      <w:r w:rsidR="00AA6859">
        <w:t>5</w:t>
      </w:r>
      <w:r>
        <w:t>th – 1</w:t>
      </w:r>
      <w:r w:rsidR="00AA6859">
        <w:t>9</w:t>
      </w:r>
      <w:r>
        <w:t xml:space="preserve">th of </w:t>
      </w:r>
      <w:r w:rsidR="00AA6859">
        <w:t>April</w:t>
      </w:r>
      <w:r>
        <w:t xml:space="preserve"> 202</w:t>
      </w:r>
      <w:r w:rsidR="00AA6859">
        <w:t>4</w:t>
      </w:r>
      <w:bookmarkEnd w:id="1"/>
    </w:p>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5A683" w14:textId="77777777" w:rsidR="00F42E54" w:rsidRDefault="00F42E54">
      <w:r>
        <w:separator/>
      </w:r>
    </w:p>
  </w:endnote>
  <w:endnote w:type="continuationSeparator" w:id="0">
    <w:p w14:paraId="78A72E8A" w14:textId="77777777" w:rsidR="00F42E54" w:rsidRDefault="00F42E54">
      <w:r>
        <w:continuationSeparator/>
      </w:r>
    </w:p>
  </w:endnote>
  <w:endnote w:type="continuationNotice" w:id="1">
    <w:p w14:paraId="718B1BBE" w14:textId="77777777" w:rsidR="00F42E54" w:rsidRDefault="00F42E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7BAD0" w14:textId="77777777" w:rsidR="00F42E54" w:rsidRDefault="00F42E54">
      <w:r>
        <w:separator/>
      </w:r>
    </w:p>
  </w:footnote>
  <w:footnote w:type="continuationSeparator" w:id="0">
    <w:p w14:paraId="01907629" w14:textId="77777777" w:rsidR="00F42E54" w:rsidRDefault="00F42E54">
      <w:r>
        <w:continuationSeparator/>
      </w:r>
    </w:p>
  </w:footnote>
  <w:footnote w:type="continuationNotice" w:id="1">
    <w:p w14:paraId="29D2FD93" w14:textId="77777777" w:rsidR="00F42E54" w:rsidRDefault="00F42E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53BD9"/>
    <w:multiLevelType w:val="hybridMultilevel"/>
    <w:tmpl w:val="D7B26082"/>
    <w:lvl w:ilvl="0" w:tplc="872E76D6">
      <w:start w:val="2"/>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B394B19"/>
    <w:multiLevelType w:val="hybridMultilevel"/>
    <w:tmpl w:val="16B6AAC0"/>
    <w:lvl w:ilvl="0" w:tplc="90B60DE2">
      <w:start w:val="5"/>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08829C5"/>
    <w:multiLevelType w:val="hybridMultilevel"/>
    <w:tmpl w:val="2C868988"/>
    <w:lvl w:ilvl="0" w:tplc="90B60DE2">
      <w:start w:val="5"/>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6455670"/>
    <w:multiLevelType w:val="hybridMultilevel"/>
    <w:tmpl w:val="0B1CAFB4"/>
    <w:lvl w:ilvl="0" w:tplc="7B108F1E">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64F592D"/>
    <w:multiLevelType w:val="hybridMultilevel"/>
    <w:tmpl w:val="CA1C1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64215D"/>
    <w:multiLevelType w:val="hybridMultilevel"/>
    <w:tmpl w:val="35FC8832"/>
    <w:lvl w:ilvl="0" w:tplc="90B60DE2">
      <w:start w:val="5"/>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78211AF"/>
    <w:multiLevelType w:val="hybridMultilevel"/>
    <w:tmpl w:val="232E1978"/>
    <w:lvl w:ilvl="0" w:tplc="45A2A4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F9A027A"/>
    <w:multiLevelType w:val="hybridMultilevel"/>
    <w:tmpl w:val="D2EC4E86"/>
    <w:lvl w:ilvl="0" w:tplc="04090017">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38718411">
    <w:abstractNumId w:val="24"/>
    <w:lvlOverride w:ilvl="0">
      <w:startOverride w:val="1"/>
    </w:lvlOverride>
    <w:lvlOverride w:ilvl="1"/>
    <w:lvlOverride w:ilvl="2"/>
    <w:lvlOverride w:ilvl="3"/>
    <w:lvlOverride w:ilvl="4"/>
    <w:lvlOverride w:ilvl="5"/>
    <w:lvlOverride w:ilvl="6"/>
    <w:lvlOverride w:ilvl="7"/>
    <w:lvlOverride w:ilvl="8"/>
  </w:num>
  <w:num w:numId="19" w16cid:durableId="1958367752">
    <w:abstractNumId w:val="13"/>
  </w:num>
  <w:num w:numId="20" w16cid:durableId="1812552922">
    <w:abstractNumId w:val="24"/>
  </w:num>
  <w:num w:numId="21" w16cid:durableId="1032270462">
    <w:abstractNumId w:val="21"/>
  </w:num>
  <w:num w:numId="22" w16cid:durableId="1069307806">
    <w:abstractNumId w:val="16"/>
  </w:num>
  <w:num w:numId="23" w16cid:durableId="5577407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38556422">
    <w:abstractNumId w:val="19"/>
  </w:num>
  <w:num w:numId="25" w16cid:durableId="370767655">
    <w:abstractNumId w:val="22"/>
  </w:num>
  <w:num w:numId="26" w16cid:durableId="185944681">
    <w:abstractNumId w:val="20"/>
  </w:num>
  <w:num w:numId="27" w16cid:durableId="1203590081">
    <w:abstractNumId w:val="25"/>
    <w:lvlOverride w:ilvl="0">
      <w:startOverride w:val="1"/>
    </w:lvlOverride>
    <w:lvlOverride w:ilvl="1"/>
    <w:lvlOverride w:ilvl="2"/>
    <w:lvlOverride w:ilvl="3"/>
    <w:lvlOverride w:ilvl="4"/>
    <w:lvlOverride w:ilvl="5"/>
    <w:lvlOverride w:ilvl="6"/>
    <w:lvlOverride w:ilvl="7"/>
    <w:lvlOverride w:ilvl="8"/>
  </w:num>
  <w:num w:numId="28" w16cid:durableId="17932784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750"/>
    <w:rsid w:val="00003363"/>
    <w:rsid w:val="00004812"/>
    <w:rsid w:val="00006C10"/>
    <w:rsid w:val="00016557"/>
    <w:rsid w:val="00023C40"/>
    <w:rsid w:val="0002507D"/>
    <w:rsid w:val="00033397"/>
    <w:rsid w:val="00040095"/>
    <w:rsid w:val="0004165A"/>
    <w:rsid w:val="00042C1A"/>
    <w:rsid w:val="000516DE"/>
    <w:rsid w:val="00065268"/>
    <w:rsid w:val="000723CE"/>
    <w:rsid w:val="00073C9C"/>
    <w:rsid w:val="00076412"/>
    <w:rsid w:val="00080512"/>
    <w:rsid w:val="00090468"/>
    <w:rsid w:val="00094568"/>
    <w:rsid w:val="000A1763"/>
    <w:rsid w:val="000A1D00"/>
    <w:rsid w:val="000B7BCF"/>
    <w:rsid w:val="000C3EDC"/>
    <w:rsid w:val="000C522B"/>
    <w:rsid w:val="000D5439"/>
    <w:rsid w:val="000D58AB"/>
    <w:rsid w:val="000E4514"/>
    <w:rsid w:val="000F0F85"/>
    <w:rsid w:val="0010196F"/>
    <w:rsid w:val="00112F1A"/>
    <w:rsid w:val="0012610D"/>
    <w:rsid w:val="00145075"/>
    <w:rsid w:val="00160B66"/>
    <w:rsid w:val="00165C7F"/>
    <w:rsid w:val="00167FF2"/>
    <w:rsid w:val="001739AE"/>
    <w:rsid w:val="001741A0"/>
    <w:rsid w:val="00175FA0"/>
    <w:rsid w:val="0018542A"/>
    <w:rsid w:val="00187BEF"/>
    <w:rsid w:val="00194CD0"/>
    <w:rsid w:val="00195F48"/>
    <w:rsid w:val="001A4317"/>
    <w:rsid w:val="001B1A02"/>
    <w:rsid w:val="001B41C9"/>
    <w:rsid w:val="001B49C9"/>
    <w:rsid w:val="001C16B3"/>
    <w:rsid w:val="001C23F4"/>
    <w:rsid w:val="001C3CFE"/>
    <w:rsid w:val="001C49CB"/>
    <w:rsid w:val="001C4F79"/>
    <w:rsid w:val="001D1B62"/>
    <w:rsid w:val="001F168B"/>
    <w:rsid w:val="001F3627"/>
    <w:rsid w:val="001F3FE1"/>
    <w:rsid w:val="001F7831"/>
    <w:rsid w:val="00204045"/>
    <w:rsid w:val="00205EB1"/>
    <w:rsid w:val="0020712B"/>
    <w:rsid w:val="002247BB"/>
    <w:rsid w:val="0022606D"/>
    <w:rsid w:val="00231728"/>
    <w:rsid w:val="0023454F"/>
    <w:rsid w:val="0024445A"/>
    <w:rsid w:val="00244A05"/>
    <w:rsid w:val="00250404"/>
    <w:rsid w:val="00254350"/>
    <w:rsid w:val="00256B74"/>
    <w:rsid w:val="002610D8"/>
    <w:rsid w:val="00262EF7"/>
    <w:rsid w:val="0027141A"/>
    <w:rsid w:val="002747EC"/>
    <w:rsid w:val="00282F5C"/>
    <w:rsid w:val="00284EE3"/>
    <w:rsid w:val="002855BF"/>
    <w:rsid w:val="002905B7"/>
    <w:rsid w:val="00290A7C"/>
    <w:rsid w:val="002B2988"/>
    <w:rsid w:val="002B4747"/>
    <w:rsid w:val="002D4FF6"/>
    <w:rsid w:val="002E7A11"/>
    <w:rsid w:val="002F0D22"/>
    <w:rsid w:val="003056FF"/>
    <w:rsid w:val="00311B17"/>
    <w:rsid w:val="003154AE"/>
    <w:rsid w:val="003172DC"/>
    <w:rsid w:val="00320EA0"/>
    <w:rsid w:val="00325AE3"/>
    <w:rsid w:val="00326069"/>
    <w:rsid w:val="0033279B"/>
    <w:rsid w:val="00340BC4"/>
    <w:rsid w:val="0034134D"/>
    <w:rsid w:val="003456D4"/>
    <w:rsid w:val="0035462D"/>
    <w:rsid w:val="0036459E"/>
    <w:rsid w:val="00364B41"/>
    <w:rsid w:val="00376EFB"/>
    <w:rsid w:val="00383096"/>
    <w:rsid w:val="0039346C"/>
    <w:rsid w:val="003A41EF"/>
    <w:rsid w:val="003A5396"/>
    <w:rsid w:val="003B40AD"/>
    <w:rsid w:val="003C4E37"/>
    <w:rsid w:val="003D0FD0"/>
    <w:rsid w:val="003D1ED1"/>
    <w:rsid w:val="003E1559"/>
    <w:rsid w:val="003E16BE"/>
    <w:rsid w:val="003F2C82"/>
    <w:rsid w:val="003F4DA4"/>
    <w:rsid w:val="003F4E28"/>
    <w:rsid w:val="003F76B6"/>
    <w:rsid w:val="004006E8"/>
    <w:rsid w:val="00401855"/>
    <w:rsid w:val="00402AFB"/>
    <w:rsid w:val="00411DC9"/>
    <w:rsid w:val="00413A4A"/>
    <w:rsid w:val="00424471"/>
    <w:rsid w:val="004266A5"/>
    <w:rsid w:val="00446C3A"/>
    <w:rsid w:val="00450E59"/>
    <w:rsid w:val="004558B1"/>
    <w:rsid w:val="00465587"/>
    <w:rsid w:val="00477455"/>
    <w:rsid w:val="004A1950"/>
    <w:rsid w:val="004A1F7B"/>
    <w:rsid w:val="004C0403"/>
    <w:rsid w:val="004C133F"/>
    <w:rsid w:val="004C44D2"/>
    <w:rsid w:val="004D3578"/>
    <w:rsid w:val="004D380D"/>
    <w:rsid w:val="004E213A"/>
    <w:rsid w:val="004E36BA"/>
    <w:rsid w:val="004E7553"/>
    <w:rsid w:val="004F3209"/>
    <w:rsid w:val="004F4540"/>
    <w:rsid w:val="004F73A7"/>
    <w:rsid w:val="004F746D"/>
    <w:rsid w:val="00503171"/>
    <w:rsid w:val="00506C28"/>
    <w:rsid w:val="005105CC"/>
    <w:rsid w:val="00523B23"/>
    <w:rsid w:val="00534DA0"/>
    <w:rsid w:val="00537809"/>
    <w:rsid w:val="005432D9"/>
    <w:rsid w:val="00543E6C"/>
    <w:rsid w:val="00560AB1"/>
    <w:rsid w:val="00565087"/>
    <w:rsid w:val="0056573F"/>
    <w:rsid w:val="00571279"/>
    <w:rsid w:val="005721BF"/>
    <w:rsid w:val="00575FC5"/>
    <w:rsid w:val="005772A0"/>
    <w:rsid w:val="00577C9C"/>
    <w:rsid w:val="00580D97"/>
    <w:rsid w:val="0058699C"/>
    <w:rsid w:val="00594CF2"/>
    <w:rsid w:val="005A00A2"/>
    <w:rsid w:val="005A13AB"/>
    <w:rsid w:val="005A49C6"/>
    <w:rsid w:val="005B1DDF"/>
    <w:rsid w:val="005B28FD"/>
    <w:rsid w:val="005C766E"/>
    <w:rsid w:val="005C7CD5"/>
    <w:rsid w:val="005D0365"/>
    <w:rsid w:val="005E32CC"/>
    <w:rsid w:val="005E736B"/>
    <w:rsid w:val="00602C72"/>
    <w:rsid w:val="00611566"/>
    <w:rsid w:val="00622481"/>
    <w:rsid w:val="00640859"/>
    <w:rsid w:val="00645884"/>
    <w:rsid w:val="00646D99"/>
    <w:rsid w:val="006516FF"/>
    <w:rsid w:val="006529B1"/>
    <w:rsid w:val="00656910"/>
    <w:rsid w:val="006574C0"/>
    <w:rsid w:val="00657ACA"/>
    <w:rsid w:val="00665B42"/>
    <w:rsid w:val="00673BAA"/>
    <w:rsid w:val="00696821"/>
    <w:rsid w:val="006A3BA3"/>
    <w:rsid w:val="006A5230"/>
    <w:rsid w:val="006B4D59"/>
    <w:rsid w:val="006C66D8"/>
    <w:rsid w:val="006D1E24"/>
    <w:rsid w:val="006D35DE"/>
    <w:rsid w:val="006D646D"/>
    <w:rsid w:val="006D6E1F"/>
    <w:rsid w:val="006D7CA2"/>
    <w:rsid w:val="006E1057"/>
    <w:rsid w:val="006E1417"/>
    <w:rsid w:val="006E2000"/>
    <w:rsid w:val="006E53D3"/>
    <w:rsid w:val="006F6A2C"/>
    <w:rsid w:val="007069DC"/>
    <w:rsid w:val="00707D78"/>
    <w:rsid w:val="00710201"/>
    <w:rsid w:val="0072073A"/>
    <w:rsid w:val="00723B23"/>
    <w:rsid w:val="00723B52"/>
    <w:rsid w:val="007342B5"/>
    <w:rsid w:val="00734A5B"/>
    <w:rsid w:val="00741525"/>
    <w:rsid w:val="00744E76"/>
    <w:rsid w:val="00746C50"/>
    <w:rsid w:val="00747816"/>
    <w:rsid w:val="00756DB1"/>
    <w:rsid w:val="00757D40"/>
    <w:rsid w:val="00763DE8"/>
    <w:rsid w:val="00765705"/>
    <w:rsid w:val="007662B5"/>
    <w:rsid w:val="00781F0F"/>
    <w:rsid w:val="0078727C"/>
    <w:rsid w:val="0079049D"/>
    <w:rsid w:val="00793DC5"/>
    <w:rsid w:val="00796823"/>
    <w:rsid w:val="007A2E55"/>
    <w:rsid w:val="007B18D8"/>
    <w:rsid w:val="007B4AD9"/>
    <w:rsid w:val="007C095F"/>
    <w:rsid w:val="007C2DD0"/>
    <w:rsid w:val="007C3F01"/>
    <w:rsid w:val="007C48DC"/>
    <w:rsid w:val="007C5C68"/>
    <w:rsid w:val="007D269C"/>
    <w:rsid w:val="007F0E63"/>
    <w:rsid w:val="007F2E08"/>
    <w:rsid w:val="008024FA"/>
    <w:rsid w:val="008028A4"/>
    <w:rsid w:val="00813245"/>
    <w:rsid w:val="00817E61"/>
    <w:rsid w:val="00824B19"/>
    <w:rsid w:val="00827821"/>
    <w:rsid w:val="00827C80"/>
    <w:rsid w:val="008304FC"/>
    <w:rsid w:val="008307C9"/>
    <w:rsid w:val="008331AB"/>
    <w:rsid w:val="00840DE0"/>
    <w:rsid w:val="0084584C"/>
    <w:rsid w:val="00847CD0"/>
    <w:rsid w:val="00850444"/>
    <w:rsid w:val="0085739A"/>
    <w:rsid w:val="008607A8"/>
    <w:rsid w:val="0086354A"/>
    <w:rsid w:val="008714D1"/>
    <w:rsid w:val="008768CA"/>
    <w:rsid w:val="0087787E"/>
    <w:rsid w:val="00877EF9"/>
    <w:rsid w:val="00880559"/>
    <w:rsid w:val="0089549F"/>
    <w:rsid w:val="008A059C"/>
    <w:rsid w:val="008B2BE1"/>
    <w:rsid w:val="008B5306"/>
    <w:rsid w:val="008B54E8"/>
    <w:rsid w:val="008C2E2A"/>
    <w:rsid w:val="008C3057"/>
    <w:rsid w:val="008D2E4D"/>
    <w:rsid w:val="008E7BB2"/>
    <w:rsid w:val="008F396F"/>
    <w:rsid w:val="008F3A10"/>
    <w:rsid w:val="008F3DCD"/>
    <w:rsid w:val="008F48D9"/>
    <w:rsid w:val="0090271F"/>
    <w:rsid w:val="00902DB9"/>
    <w:rsid w:val="0090466A"/>
    <w:rsid w:val="00905E5A"/>
    <w:rsid w:val="00923655"/>
    <w:rsid w:val="009248C6"/>
    <w:rsid w:val="00924A08"/>
    <w:rsid w:val="009339CB"/>
    <w:rsid w:val="00936071"/>
    <w:rsid w:val="009376CD"/>
    <w:rsid w:val="00940212"/>
    <w:rsid w:val="00942EC2"/>
    <w:rsid w:val="00953931"/>
    <w:rsid w:val="0096013E"/>
    <w:rsid w:val="00961B32"/>
    <w:rsid w:val="00962509"/>
    <w:rsid w:val="00964448"/>
    <w:rsid w:val="00970DB3"/>
    <w:rsid w:val="00974BB0"/>
    <w:rsid w:val="00975BCD"/>
    <w:rsid w:val="0098113A"/>
    <w:rsid w:val="009818A2"/>
    <w:rsid w:val="009928A9"/>
    <w:rsid w:val="009A0AF3"/>
    <w:rsid w:val="009B07CD"/>
    <w:rsid w:val="009C0646"/>
    <w:rsid w:val="009C19E9"/>
    <w:rsid w:val="009C312A"/>
    <w:rsid w:val="009D74A6"/>
    <w:rsid w:val="009E0E87"/>
    <w:rsid w:val="009E3E1D"/>
    <w:rsid w:val="009E4946"/>
    <w:rsid w:val="009F045A"/>
    <w:rsid w:val="00A05B02"/>
    <w:rsid w:val="00A10F02"/>
    <w:rsid w:val="00A17176"/>
    <w:rsid w:val="00A204CA"/>
    <w:rsid w:val="00A209D6"/>
    <w:rsid w:val="00A22738"/>
    <w:rsid w:val="00A320DA"/>
    <w:rsid w:val="00A36D3D"/>
    <w:rsid w:val="00A36F5F"/>
    <w:rsid w:val="00A430EC"/>
    <w:rsid w:val="00A53724"/>
    <w:rsid w:val="00A54B2B"/>
    <w:rsid w:val="00A703B6"/>
    <w:rsid w:val="00A75617"/>
    <w:rsid w:val="00A82346"/>
    <w:rsid w:val="00A91D92"/>
    <w:rsid w:val="00A9671C"/>
    <w:rsid w:val="00AA1553"/>
    <w:rsid w:val="00AA2F5C"/>
    <w:rsid w:val="00AA6859"/>
    <w:rsid w:val="00AC6B05"/>
    <w:rsid w:val="00AD25AE"/>
    <w:rsid w:val="00AD7E7C"/>
    <w:rsid w:val="00AE2F42"/>
    <w:rsid w:val="00AE417B"/>
    <w:rsid w:val="00AF72C4"/>
    <w:rsid w:val="00B04E45"/>
    <w:rsid w:val="00B05380"/>
    <w:rsid w:val="00B05962"/>
    <w:rsid w:val="00B07ED7"/>
    <w:rsid w:val="00B1347B"/>
    <w:rsid w:val="00B15449"/>
    <w:rsid w:val="00B1553E"/>
    <w:rsid w:val="00B16235"/>
    <w:rsid w:val="00B16C2F"/>
    <w:rsid w:val="00B27303"/>
    <w:rsid w:val="00B334B6"/>
    <w:rsid w:val="00B358C1"/>
    <w:rsid w:val="00B47690"/>
    <w:rsid w:val="00B47FD1"/>
    <w:rsid w:val="00B516BB"/>
    <w:rsid w:val="00B52401"/>
    <w:rsid w:val="00B5751D"/>
    <w:rsid w:val="00B669E9"/>
    <w:rsid w:val="00B74D98"/>
    <w:rsid w:val="00B7538C"/>
    <w:rsid w:val="00B84DB2"/>
    <w:rsid w:val="00B85DB1"/>
    <w:rsid w:val="00B902EA"/>
    <w:rsid w:val="00B90F5B"/>
    <w:rsid w:val="00BA090B"/>
    <w:rsid w:val="00BB671F"/>
    <w:rsid w:val="00BB71A1"/>
    <w:rsid w:val="00BC2C8E"/>
    <w:rsid w:val="00BC3555"/>
    <w:rsid w:val="00BD7070"/>
    <w:rsid w:val="00BE33EA"/>
    <w:rsid w:val="00BE4672"/>
    <w:rsid w:val="00BE5A0A"/>
    <w:rsid w:val="00BF2B58"/>
    <w:rsid w:val="00BF2EC7"/>
    <w:rsid w:val="00BF6238"/>
    <w:rsid w:val="00C00AE8"/>
    <w:rsid w:val="00C03FD9"/>
    <w:rsid w:val="00C05CF4"/>
    <w:rsid w:val="00C12B51"/>
    <w:rsid w:val="00C15BF8"/>
    <w:rsid w:val="00C24650"/>
    <w:rsid w:val="00C25465"/>
    <w:rsid w:val="00C31806"/>
    <w:rsid w:val="00C33079"/>
    <w:rsid w:val="00C55A12"/>
    <w:rsid w:val="00C575E1"/>
    <w:rsid w:val="00C6020C"/>
    <w:rsid w:val="00C6553E"/>
    <w:rsid w:val="00C83A13"/>
    <w:rsid w:val="00C86F10"/>
    <w:rsid w:val="00C9068C"/>
    <w:rsid w:val="00C92967"/>
    <w:rsid w:val="00C96FA3"/>
    <w:rsid w:val="00CA3D0C"/>
    <w:rsid w:val="00CA654B"/>
    <w:rsid w:val="00CB0719"/>
    <w:rsid w:val="00CB2859"/>
    <w:rsid w:val="00CB72B8"/>
    <w:rsid w:val="00CC6D55"/>
    <w:rsid w:val="00CC7DD3"/>
    <w:rsid w:val="00CD09E0"/>
    <w:rsid w:val="00CD0BA8"/>
    <w:rsid w:val="00CD4A18"/>
    <w:rsid w:val="00CD4C7B"/>
    <w:rsid w:val="00CD58FE"/>
    <w:rsid w:val="00CF11D2"/>
    <w:rsid w:val="00CF7493"/>
    <w:rsid w:val="00D02A19"/>
    <w:rsid w:val="00D33BE3"/>
    <w:rsid w:val="00D37311"/>
    <w:rsid w:val="00D3792D"/>
    <w:rsid w:val="00D54820"/>
    <w:rsid w:val="00D55E47"/>
    <w:rsid w:val="00D57FD1"/>
    <w:rsid w:val="00D6224D"/>
    <w:rsid w:val="00D62E19"/>
    <w:rsid w:val="00D67CD1"/>
    <w:rsid w:val="00D738D6"/>
    <w:rsid w:val="00D73E00"/>
    <w:rsid w:val="00D80795"/>
    <w:rsid w:val="00D84013"/>
    <w:rsid w:val="00D854BE"/>
    <w:rsid w:val="00D86329"/>
    <w:rsid w:val="00D87CE3"/>
    <w:rsid w:val="00D87E00"/>
    <w:rsid w:val="00D9134D"/>
    <w:rsid w:val="00D96D11"/>
    <w:rsid w:val="00DA7A03"/>
    <w:rsid w:val="00DB0551"/>
    <w:rsid w:val="00DB0DB8"/>
    <w:rsid w:val="00DB1818"/>
    <w:rsid w:val="00DB47B0"/>
    <w:rsid w:val="00DC309B"/>
    <w:rsid w:val="00DC4DA2"/>
    <w:rsid w:val="00DC5261"/>
    <w:rsid w:val="00DC7430"/>
    <w:rsid w:val="00DD6454"/>
    <w:rsid w:val="00DD7B56"/>
    <w:rsid w:val="00DE1C84"/>
    <w:rsid w:val="00DE25D2"/>
    <w:rsid w:val="00DF7C20"/>
    <w:rsid w:val="00E02923"/>
    <w:rsid w:val="00E038FB"/>
    <w:rsid w:val="00E3479C"/>
    <w:rsid w:val="00E46C08"/>
    <w:rsid w:val="00E471CF"/>
    <w:rsid w:val="00E62835"/>
    <w:rsid w:val="00E6480E"/>
    <w:rsid w:val="00E721CF"/>
    <w:rsid w:val="00E77645"/>
    <w:rsid w:val="00E83697"/>
    <w:rsid w:val="00E859B6"/>
    <w:rsid w:val="00E95477"/>
    <w:rsid w:val="00EA66C9"/>
    <w:rsid w:val="00EB0A39"/>
    <w:rsid w:val="00EB5D32"/>
    <w:rsid w:val="00EC4A25"/>
    <w:rsid w:val="00EF0157"/>
    <w:rsid w:val="00EF612C"/>
    <w:rsid w:val="00F00194"/>
    <w:rsid w:val="00F025A2"/>
    <w:rsid w:val="00F036E9"/>
    <w:rsid w:val="00F07388"/>
    <w:rsid w:val="00F143D5"/>
    <w:rsid w:val="00F16032"/>
    <w:rsid w:val="00F2026E"/>
    <w:rsid w:val="00F2210A"/>
    <w:rsid w:val="00F271FA"/>
    <w:rsid w:val="00F31372"/>
    <w:rsid w:val="00F37743"/>
    <w:rsid w:val="00F40C2F"/>
    <w:rsid w:val="00F42493"/>
    <w:rsid w:val="00F42E54"/>
    <w:rsid w:val="00F54A3D"/>
    <w:rsid w:val="00F54CB0"/>
    <w:rsid w:val="00F579CD"/>
    <w:rsid w:val="00F653B8"/>
    <w:rsid w:val="00F71B89"/>
    <w:rsid w:val="00F7353C"/>
    <w:rsid w:val="00F75B6B"/>
    <w:rsid w:val="00F76F8F"/>
    <w:rsid w:val="00F87048"/>
    <w:rsid w:val="00F87257"/>
    <w:rsid w:val="00F90431"/>
    <w:rsid w:val="00F941DF"/>
    <w:rsid w:val="00FA1266"/>
    <w:rsid w:val="00FB36FA"/>
    <w:rsid w:val="00FB39C5"/>
    <w:rsid w:val="00FB6423"/>
    <w:rsid w:val="00FC1192"/>
    <w:rsid w:val="00FC3C84"/>
    <w:rsid w:val="00FD113F"/>
    <w:rsid w:val="00FD3DE5"/>
    <w:rsid w:val="00FE106D"/>
    <w:rsid w:val="00FE251B"/>
    <w:rsid w:val="00FE2A59"/>
    <w:rsid w:val="00FE3A5F"/>
    <w:rsid w:val="00FE4D50"/>
    <w:rsid w:val="00FF12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6D7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6D7CA2"/>
    <w:rPr>
      <w:lang w:eastAsia="en-US"/>
    </w:rPr>
  </w:style>
  <w:style w:type="character" w:customStyle="1" w:styleId="Heading1Char">
    <w:name w:val="Heading 1 Char"/>
    <w:basedOn w:val="DefaultParagraphFont"/>
    <w:link w:val="Heading1"/>
    <w:rsid w:val="00BF2EC7"/>
    <w:rPr>
      <w:rFonts w:ascii="Arial" w:hAnsi="Arial"/>
      <w:sz w:val="36"/>
      <w:lang w:eastAsia="en-US"/>
    </w:rPr>
  </w:style>
  <w:style w:type="character" w:styleId="CommentReference">
    <w:name w:val="annotation reference"/>
    <w:basedOn w:val="DefaultParagraphFont"/>
    <w:rsid w:val="00FD3DE5"/>
    <w:rPr>
      <w:sz w:val="16"/>
      <w:szCs w:val="16"/>
    </w:rPr>
  </w:style>
  <w:style w:type="character" w:customStyle="1" w:styleId="Heading2Char">
    <w:name w:val="Heading 2 Char"/>
    <w:basedOn w:val="DefaultParagraphFont"/>
    <w:link w:val="Heading2"/>
    <w:rsid w:val="00D87CE3"/>
    <w:rPr>
      <w:rFonts w:ascii="Arial" w:hAnsi="Arial"/>
      <w:sz w:val="32"/>
      <w:lang w:eastAsia="en-US"/>
    </w:rPr>
  </w:style>
  <w:style w:type="paragraph" w:styleId="Revision">
    <w:name w:val="Revision"/>
    <w:hidden/>
    <w:uiPriority w:val="99"/>
    <w:semiHidden/>
    <w:rsid w:val="00602C72"/>
    <w:rPr>
      <w:lang w:eastAsia="en-US"/>
    </w:rPr>
  </w:style>
  <w:style w:type="character" w:styleId="Mention">
    <w:name w:val="Mention"/>
    <w:basedOn w:val="DefaultParagraphFont"/>
    <w:uiPriority w:val="99"/>
    <w:unhideWhenUsed/>
    <w:rsid w:val="00827C8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94768">
      <w:bodyDiv w:val="1"/>
      <w:marLeft w:val="0"/>
      <w:marRight w:val="0"/>
      <w:marTop w:val="0"/>
      <w:marBottom w:val="0"/>
      <w:divBdr>
        <w:top w:val="none" w:sz="0" w:space="0" w:color="auto"/>
        <w:left w:val="none" w:sz="0" w:space="0" w:color="auto"/>
        <w:bottom w:val="none" w:sz="0" w:space="0" w:color="auto"/>
        <w:right w:val="none" w:sz="0" w:space="0" w:color="auto"/>
      </w:divBdr>
    </w:div>
    <w:div w:id="3858780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9184508">
      <w:bodyDiv w:val="1"/>
      <w:marLeft w:val="0"/>
      <w:marRight w:val="0"/>
      <w:marTop w:val="0"/>
      <w:marBottom w:val="0"/>
      <w:divBdr>
        <w:top w:val="none" w:sz="0" w:space="0" w:color="auto"/>
        <w:left w:val="none" w:sz="0" w:space="0" w:color="auto"/>
        <w:bottom w:val="none" w:sz="0" w:space="0" w:color="auto"/>
        <w:right w:val="none" w:sz="0" w:space="0" w:color="auto"/>
      </w:divBdr>
    </w:div>
    <w:div w:id="120733008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22180762">
      <w:bodyDiv w:val="1"/>
      <w:marLeft w:val="0"/>
      <w:marRight w:val="0"/>
      <w:marTop w:val="0"/>
      <w:marBottom w:val="0"/>
      <w:divBdr>
        <w:top w:val="none" w:sz="0" w:space="0" w:color="auto"/>
        <w:left w:val="none" w:sz="0" w:space="0" w:color="auto"/>
        <w:bottom w:val="none" w:sz="0" w:space="0" w:color="auto"/>
        <w:right w:val="none" w:sz="0" w:space="0" w:color="auto"/>
      </w:divBdr>
    </w:div>
    <w:div w:id="205967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RBI5PAMIO524-1616901215-21170</_dlc_DocId>
    <_dlc_DocIdUrl xmlns="71c5aaf6-e6ce-465b-b873-5148d2a4c105">
      <Url>https://nokia.sharepoint.com/sites/gxp/_layouts/15/DocIdRedir.aspx?ID=RBI5PAMIO524-1616901215-21170</Url>
      <Description>RBI5PAMIO524-1616901215-21170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7CEF9A13-E015-4A51-AE96-316DC4101964}">
  <ds:schemaRefs>
    <ds:schemaRef ds:uri="http://schemas.openxmlformats.org/officeDocument/2006/bibliography"/>
  </ds:schemaRefs>
</ds:datastoreItem>
</file>

<file path=customXml/itemProps5.xml><?xml version="1.0" encoding="utf-8"?>
<ds:datastoreItem xmlns:ds="http://schemas.openxmlformats.org/officeDocument/2006/customXml" ds:itemID="{4B9EE84F-2494-4E19-90D6-F0E756D2A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D1FF41-9130-4FBF-B742-64100F73850B}">
  <ds:schemaRefs>
    <ds:schemaRef ds:uri="3f2ce089-3858-4176-9a21-a30f9204848e"/>
    <ds:schemaRef ds:uri="http://schemas.openxmlformats.org/package/2006/metadata/core-properties"/>
    <ds:schemaRef ds:uri="71c5aaf6-e6ce-465b-b873-5148d2a4c105"/>
    <ds:schemaRef ds:uri="http://schemas.microsoft.com/office/infopath/2007/PartnerControls"/>
    <ds:schemaRef ds:uri="http://purl.org/dc/dcmitype/"/>
    <ds:schemaRef ds:uri="http://purl.org/dc/terms/"/>
    <ds:schemaRef ds:uri="http://schemas.microsoft.com/office/2006/documentManagement/types"/>
    <ds:schemaRef ds:uri="http://purl.org/dc/elements/1.1/"/>
    <ds:schemaRef ds:uri="7275bb01-7583-478d-bc14-e839a2dd5989"/>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533</TotalTime>
  <Pages>4</Pages>
  <Words>2309</Words>
  <Characters>11840</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14121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347</cp:revision>
  <dcterms:created xsi:type="dcterms:W3CDTF">2016-08-12T13:53:00Z</dcterms:created>
  <dcterms:modified xsi:type="dcterms:W3CDTF">2024-05-09T21:40:00Z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e1bac576-a952-49c5-a432-406a419a5af3</vt:lpwstr>
  </property>
</Properties>
</file>